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16C8" w14:textId="77777777" w:rsidR="0024260F" w:rsidRDefault="0024260F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2E22E" w14:textId="77777777" w:rsidR="00A441BD" w:rsidRDefault="00A441B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BCB4A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2A1CA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575EF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A2A78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BEC80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CB919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5E2AD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5E49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F0AE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16960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46994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34D9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3CF27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C90CD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BEAB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7F631" w14:textId="783DD922" w:rsidR="00A25F96" w:rsidRDefault="00A36155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ГОДОВОЙ </w:t>
      </w:r>
      <w:r w:rsidR="003B3F86"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ОТЧЕТ</w:t>
      </w:r>
      <w:r w:rsidR="000273F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bookmarkStart w:id="0" w:name="_GoBack"/>
      <w:bookmarkEnd w:id="0"/>
      <w:r w:rsidR="003B3F86"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</w:t>
      </w:r>
      <w:r w:rsidR="000273F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3B3F86"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РЕАЛИЗАЦИИ </w:t>
      </w:r>
    </w:p>
    <w:p w14:paraId="03BCA172" w14:textId="433CA8BE" w:rsidR="00B71682" w:rsidRPr="003B3F86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ПУБЛИЧН</w:t>
      </w:r>
      <w:r w:rsidR="003B3F86"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ОЙ</w:t>
      </w:r>
      <w:r w:rsidR="005E439D"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ДЕКЛАРАЦИ</w:t>
      </w:r>
      <w:r w:rsidR="003B3F86"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</w:t>
      </w:r>
    </w:p>
    <w:p w14:paraId="768A3DDF" w14:textId="77777777" w:rsidR="00B71682" w:rsidRPr="003B3F86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целей и задач Федерального агентства по недропользованию</w:t>
      </w:r>
    </w:p>
    <w:p w14:paraId="30747B57" w14:textId="150F6B56" w:rsidR="00B71682" w:rsidRPr="003B3F86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на 2018 год</w:t>
      </w:r>
      <w:r w:rsidR="003B3F86"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14:paraId="7FAC7EA9" w14:textId="77777777" w:rsidR="00B71682" w:rsidRPr="003B3F86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1784133B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27F66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E320A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27623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AE1A7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F7B56" w14:textId="77777777" w:rsidR="005E439D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B90DF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193CD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002AE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3939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1110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6C383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7322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B2F5F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5345E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6C081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4043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23C18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85291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44317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AEF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B89F7" w14:textId="77777777" w:rsidR="00BF5BCC" w:rsidRPr="00C9203F" w:rsidRDefault="00BF5BCC" w:rsidP="003B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99572" w14:textId="77777777" w:rsidR="008341C4" w:rsidRPr="008341C4" w:rsidRDefault="008341C4" w:rsidP="003B3F86">
      <w:pPr>
        <w:pStyle w:val="a3"/>
        <w:spacing w:before="0" w:after="0"/>
        <w:rPr>
          <w:rFonts w:cs="Times New Roman"/>
          <w:sz w:val="28"/>
          <w:szCs w:val="28"/>
        </w:rPr>
      </w:pPr>
    </w:p>
    <w:p w14:paraId="057902AF" w14:textId="77777777" w:rsidR="00090DFA" w:rsidRPr="00022C12" w:rsidRDefault="00090DFA" w:rsidP="00090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ОРГАНИЗАЦИЯ РЕГИОНАЛЬНОГО ГЕОЛОГИЧЕСКОГО ИЗУЧЕНИЯ НЕДР</w:t>
      </w:r>
    </w:p>
    <w:p w14:paraId="0E68B0CB" w14:textId="77777777" w:rsidR="00090DFA" w:rsidRDefault="00090DFA" w:rsidP="00090DFA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</w:p>
    <w:p w14:paraId="61531E95" w14:textId="77777777" w:rsidR="00090DFA" w:rsidRPr="00022C12" w:rsidRDefault="00090DFA" w:rsidP="00090DFA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022C12">
        <w:rPr>
          <w:b/>
          <w:i/>
          <w:color w:val="E36C0A" w:themeColor="accent6" w:themeShade="BF"/>
          <w:sz w:val="28"/>
          <w:szCs w:val="28"/>
        </w:rPr>
        <w:t>Цель 1. Повышение степени геологической, геофизической и гидрогеологической изученности территории РФ и ее континентального шельфа,</w:t>
      </w:r>
      <w:r w:rsidRPr="00022C12">
        <w:rPr>
          <w:b/>
          <w:sz w:val="28"/>
          <w:szCs w:val="28"/>
        </w:rPr>
        <w:t xml:space="preserve"> </w:t>
      </w:r>
      <w:r w:rsidRPr="00022C12">
        <w:rPr>
          <w:b/>
          <w:i/>
          <w:color w:val="E36C0A" w:themeColor="accent6" w:themeShade="BF"/>
          <w:sz w:val="28"/>
          <w:szCs w:val="28"/>
        </w:rPr>
        <w:t xml:space="preserve">государственный мониторинг состояния недр </w:t>
      </w:r>
    </w:p>
    <w:p w14:paraId="4CC914DE" w14:textId="77777777" w:rsidR="00090DFA" w:rsidRPr="00843B63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Региональное геологическое изучение недр включает геолого-геофизические работы, геологическую съемку и другие работы, направленные на общее геологическое изучение недр, геологические работы по прогнозированию землетрясений, созданию и ведению мониторинга состояния недр, </w:t>
      </w:r>
      <w:proofErr w:type="gramStart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режимом подземных вод.</w:t>
      </w:r>
    </w:p>
    <w:p w14:paraId="59326136" w14:textId="77777777" w:rsidR="00090DFA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состоянию на 31 декабря 2018 года степень геологической изученности территории Российской Федерации и 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ё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континентального шельфа в масштабе 1:1 000 000 (третье поколение) состав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ила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81,82%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(прирост в 2018 году 6,03% или 1406,5 тыс. км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масштабе 1:200 000 (второе издание) - 23,4%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(прирост в 2018 году 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3% или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77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км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м)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работ подготовлено 40 паспортов учета перспективных объектов, к изданию подготовлено 20 листов Госгеолкарты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м-ба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1:200 000.</w:t>
      </w:r>
      <w:r w:rsidRPr="00623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CC84947" w14:textId="77777777" w:rsidR="00090DFA" w:rsidRPr="00843B63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Протяж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ё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нность государственной сети опорных геолого-геофизических профилей превы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сила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89 тыс. </w:t>
      </w:r>
      <w:proofErr w:type="spellStart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</w:t>
      </w:r>
      <w:proofErr w:type="spellEnd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(прирост в 2018 г – 450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AB021E1" w14:textId="77777777" w:rsidR="00090DFA" w:rsidRPr="00843B63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Степень гидрогеологической изученности масштаба 1:1 000 000 состав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ила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32,2 %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(прирост в 2018 году 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,8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или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128,5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км</w:t>
      </w:r>
      <w:proofErr w:type="gramStart"/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масштабе 1:200 000 – 30,3 %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(прирост в 2018 году 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,1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или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13,5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км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D7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2107C98" w14:textId="77777777" w:rsidR="00090DFA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Оценка состояния недр территории Российской Федерации осуществлялась по 955 пунктам наблюдения за опасными экзогенными геологическими процессами, по 6445 пунктам наблюдения за режимом подземных вод и их загрязнением. Оценка </w:t>
      </w:r>
      <w:proofErr w:type="spellStart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сейсмогеодинамического</w:t>
      </w:r>
      <w:proofErr w:type="spellEnd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состояния сейсмоопасных регионов Российской Федерации  осуществлялась по 99 наблюдательным скважинам и на 8 полигонах. Составлены ежегодные прогнозы, сводки,  бюллетени о состоянии недр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(Индикативные показатели 2018 года выполнены)</w:t>
      </w: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D88B47B" w14:textId="77777777" w:rsidR="00090DFA" w:rsidRDefault="00090DFA" w:rsidP="00090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807D51" w14:textId="77777777" w:rsidR="00090DFA" w:rsidRPr="00125DB6" w:rsidRDefault="00090DFA" w:rsidP="00090DFA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 2.</w:t>
      </w:r>
      <w:r w:rsidRPr="005F53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Обеспечение международно-правового оформления внешних границ континентального шельфа Российской Федерации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в</w:t>
      </w:r>
      <w:r w:rsidRPr="005F53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Северно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</w:t>
      </w:r>
      <w:r w:rsidRPr="005F53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Ледовито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</w:t>
      </w:r>
      <w:r w:rsidRPr="005F53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океан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е</w:t>
      </w:r>
      <w:r w:rsidRPr="005F53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</w:p>
    <w:p w14:paraId="6C5473D3" w14:textId="77777777" w:rsidR="00090DFA" w:rsidRPr="00843B63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EC58F7" w14:textId="77777777" w:rsidR="00090DFA" w:rsidRPr="00843B63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Роснедра проводит доработку и сопровождение Частичного пересмотренного Представления Российской Федерации на установление внешней границы континентального шельфа в Северном Ледовитом океане (далее – заявка России) в соответствии с замечаниями и предложениями Комиссии по границам континентального шельфа (далее – КГКШ) при ООН (г. Нью-Йорк, США). Расширенная внешняя граница континентального шельфа Российской Федерации охватывает акваторию центральной части Северного Ледовитого океана общей площадью 1,2 млн. км</w:t>
      </w:r>
      <w:proofErr w:type="gramStart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прогнозными ресурсами углеводородного сырья - от 5 до 10 миллиардов тонн условного топлива.</w:t>
      </w:r>
    </w:p>
    <w:p w14:paraId="4C1DEA8D" w14:textId="77777777" w:rsidR="00090DFA" w:rsidRPr="00843B63" w:rsidRDefault="00090DFA" w:rsidP="000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2018 г. подготовлены материалы (презентации, доклады) к защите заявки России в КГКШ на 46, 47 и 48 сессиях; доработаны разделы заявки России в соответствии с вопросами и замечаниями подкомиссии КГКШ в отношении структурных связей континентального шельфа с прилегающей континентальной окраиной России. Проведены консультации и согласования позиций с геологическими службами </w:t>
      </w:r>
      <w:proofErr w:type="spellStart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приарктических</w:t>
      </w:r>
      <w:proofErr w:type="spellEnd"/>
      <w:r w:rsidRPr="00843B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государств (Королевство Норвегия, Королевство Дания, Канада, США и др.) по вопросам геологического строения и тектонической структуры Арктики.</w:t>
      </w:r>
    </w:p>
    <w:p w14:paraId="32BBEF93" w14:textId="77777777" w:rsidR="00090DFA" w:rsidRDefault="00090DFA" w:rsidP="00090DF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E2B7C3" w14:textId="77777777" w:rsidR="00090DFA" w:rsidRPr="00022C12" w:rsidRDefault="00090DFA" w:rsidP="00090DFA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022C12">
        <w:rPr>
          <w:b/>
          <w:i/>
          <w:color w:val="E36C0A" w:themeColor="accent6" w:themeShade="BF"/>
          <w:sz w:val="28"/>
          <w:szCs w:val="28"/>
        </w:rPr>
        <w:t>Цель 3. Обеспечение геополитических интересов Российской Федерации в Арктике, Антарктике и Мировом океане</w:t>
      </w:r>
    </w:p>
    <w:p w14:paraId="0AB09A1F" w14:textId="77777777" w:rsidR="00090DFA" w:rsidRPr="00022C12" w:rsidRDefault="00090DFA" w:rsidP="00090DFA">
      <w:pPr>
        <w:spacing w:after="0" w:line="240" w:lineRule="auto"/>
      </w:pPr>
    </w:p>
    <w:p w14:paraId="3415487E" w14:textId="77777777" w:rsidR="00090DFA" w:rsidRDefault="00090DFA" w:rsidP="00090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C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в составе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-й Российской антарктической экспедиции </w:t>
      </w:r>
      <w:r w:rsidRPr="004C2897">
        <w:rPr>
          <w:rFonts w:ascii="Times New Roman" w:hAnsi="Times New Roman" w:cs="Times New Roman"/>
          <w:sz w:val="28"/>
          <w:szCs w:val="28"/>
        </w:rPr>
        <w:t>выполнялись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сводному и обзорному геологическому картографированию Антарктиды и ее окраинных морей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F8ACA37" w14:textId="77777777" w:rsidR="00090DFA" w:rsidRDefault="00090DFA" w:rsidP="00090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северо-западной части моря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Уэддела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выполнены </w:t>
      </w:r>
      <w:r w:rsidRPr="0070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комплексные морские геофизические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сейсморазведка, дифференциальная гидромагнитная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гравиметрическая съёмка; </w:t>
      </w:r>
      <w:proofErr w:type="gramStart"/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многолучевое</w:t>
      </w:r>
      <w:proofErr w:type="gramEnd"/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эхолотирование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A7C5B8C" w14:textId="77777777" w:rsidR="00090DFA" w:rsidRDefault="00090DFA" w:rsidP="00090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западной части оазиса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Бангера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(Земля Королевы Мэри) выполнены наземные геолого-геофизические полевые и камеральные работы, проведена оценка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минерагенического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потенциала изученной территории.</w:t>
      </w:r>
    </w:p>
    <w:p w14:paraId="0FD0F336" w14:textId="77777777" w:rsidR="00090DFA" w:rsidRPr="00963F69" w:rsidRDefault="00090DFA" w:rsidP="00090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 сводные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геологического содержания масштаба 1:1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000 000 − 1:2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500 000 центрального </w:t>
      </w:r>
      <w:r w:rsidRPr="004C2897">
        <w:rPr>
          <w:rFonts w:ascii="Times New Roman" w:hAnsi="Times New Roman" w:cs="Times New Roman"/>
          <w:sz w:val="28"/>
          <w:szCs w:val="28"/>
        </w:rPr>
        <w:t>сектора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Восточной Антарктиды (район ледника </w:t>
      </w:r>
      <w:proofErr w:type="spellStart"/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Денмана</w:t>
      </w:r>
      <w:proofErr w:type="spellEnd"/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(Земля Королевы Мэри) и западного сектора Восточной Антарктиды (восточная часть Земля Королевы Мод).</w:t>
      </w:r>
      <w:proofErr w:type="gramEnd"/>
    </w:p>
    <w:p w14:paraId="5E0F20ED" w14:textId="77777777" w:rsidR="00090DFA" w:rsidRPr="003A046F" w:rsidRDefault="00090DFA" w:rsidP="00090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стратегией российского присутствия на архипелаге Шпицберген проводились геологическое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доизучение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минерально-сырьевого потенциала недр в северной части Земли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Веделя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Ярлсберга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центральной части Земли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Норденшельда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 комплект геологических карт масштаба 1:100 000.</w:t>
      </w:r>
    </w:p>
    <w:p w14:paraId="3C49CAD5" w14:textId="77777777" w:rsidR="00A32C7C" w:rsidRPr="00022C12" w:rsidRDefault="00A32C7C" w:rsidP="003B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85495" w14:textId="77777777" w:rsidR="003B3F86" w:rsidRPr="00022C12" w:rsidRDefault="003B3F86" w:rsidP="003B3F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</w:p>
    <w:p w14:paraId="75F714EF" w14:textId="77777777" w:rsidR="00C11AAC" w:rsidRPr="00022C12" w:rsidRDefault="00D251BB" w:rsidP="003B3F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 w:rsidRPr="00022C12"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022C12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 w:rsidRPr="00022C12">
        <w:rPr>
          <w:b/>
          <w:color w:val="5F497A" w:themeColor="accent4" w:themeShade="BF"/>
          <w:sz w:val="28"/>
          <w:szCs w:val="28"/>
        </w:rPr>
        <w:t>У</w:t>
      </w:r>
      <w:r w:rsidR="00C11AAC" w:rsidRPr="00022C12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 w:rsidRPr="00022C12">
        <w:rPr>
          <w:b/>
          <w:color w:val="5F497A" w:themeColor="accent4" w:themeShade="BF"/>
          <w:sz w:val="28"/>
          <w:szCs w:val="28"/>
        </w:rPr>
        <w:t>РОССИИ</w:t>
      </w:r>
    </w:p>
    <w:p w14:paraId="22EB0093" w14:textId="77777777" w:rsidR="00AF4909" w:rsidRPr="00022C12" w:rsidRDefault="00AF4909" w:rsidP="003B3F86">
      <w:pPr>
        <w:pStyle w:val="a3"/>
        <w:spacing w:before="0" w:after="0"/>
        <w:ind w:left="0" w:firstLine="709"/>
        <w:jc w:val="center"/>
        <w:rPr>
          <w:b/>
          <w:sz w:val="28"/>
          <w:szCs w:val="28"/>
        </w:rPr>
      </w:pPr>
    </w:p>
    <w:p w14:paraId="2C81C2AC" w14:textId="7C8855CF" w:rsidR="00AF4909" w:rsidRPr="00022C12" w:rsidRDefault="00BA4751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E302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F4909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</w:p>
    <w:p w14:paraId="5C20F5A1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 реализации задач, предусмотренных для достижения вышеуказанной цели, в 2018 году за счет средств федерального бюджета проводился широкий комплекс геологоразведочных работ (далее – ГРР) на нефть и газ на территории всех федеральных округов (за исключением Центрального), охватывая практически все нефтегазоносные провинции России, а также акватории арктических и дальневосточных морей.</w:t>
      </w:r>
      <w:proofErr w:type="gramEnd"/>
    </w:p>
    <w:p w14:paraId="777BFC86" w14:textId="1094A1F2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Приоритетными направлениями работ на нефть и газ в 2018 году являлись уточнение геологического строения перспективных территорий нераспределенного фонда недр, локализация прогнозных ресурсов нефти и газа и </w:t>
      </w: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подготовка на этой основе лицензионных участков для выставления их на аукционы с целью последующего проведения на них поисково-разведочных работ силами недропользователей.</w:t>
      </w:r>
    </w:p>
    <w:p w14:paraId="6A93951E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2018 году объем параметрического бурения составил 5800 м. (с учетом неисполненных обязательств 2017 г. по бурению </w:t>
      </w:r>
      <w:proofErr w:type="spell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Чумпаловской</w:t>
      </w:r>
      <w:proofErr w:type="spellEnd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скважины), отработано 25,2 тыс.</w:t>
      </w: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пог</w:t>
      </w:r>
      <w:proofErr w:type="spellEnd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км</w:t>
      </w:r>
      <w:proofErr w:type="gram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ейсмических профилей 2D.</w:t>
      </w:r>
    </w:p>
    <w:p w14:paraId="3ACC8414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Северо-Западном федеральном округе закончено бурение параметрической скважины Северо-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Новоборская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1.</w:t>
      </w:r>
      <w:proofErr w:type="gram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основе проведенных сейсморазведочных работ в западной части провинции создана геологическая модель верхнедевонских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рифогенных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отложений.</w:t>
      </w:r>
    </w:p>
    <w:p w14:paraId="52F3C77C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территории Приволжского федерального округа за счет средств федерального бюджета работы проводились с целью выявления ловушек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неантиклинального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типа, а также подготовки участков под лицензирование. По результатам сейсморазведочных работ уточнено геологическое строение юго-восточного склона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Жигулевско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-Пугачевского свода. </w:t>
      </w:r>
    </w:p>
    <w:p w14:paraId="6D38C02D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Южном федеральном округе по результатам сейсморазведочных работ уточнено геологическое строение волгоградского сектора Прикаспийской впадины.</w:t>
      </w:r>
      <w:proofErr w:type="gram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Терско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-Каспийском </w:t>
      </w:r>
      <w:proofErr w:type="gram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прогибе</w:t>
      </w:r>
      <w:proofErr w:type="gram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завершен первый этап строительства параметрической скважины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Чумпаловская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1.</w:t>
      </w:r>
    </w:p>
    <w:p w14:paraId="35318046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территории Уральского федерального округа завершено бурение параметрической скважины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Баженовская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1. Завершено создание комплекта палеографических карт с целью выявления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неантиклинальных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ловушек. </w:t>
      </w:r>
    </w:p>
    <w:p w14:paraId="4712D5EB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Сибирском федеральном округе работы завершены по 5 объектам.</w:t>
      </w:r>
      <w:proofErr w:type="gram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Уточнена ресурсная база ловушек Д</w:t>
      </w:r>
      <w:proofErr w:type="gram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0</w:t>
      </w:r>
      <w:proofErr w:type="gram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Томской, Омской и Новосибирской областей. В Енисей-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Хатангском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прогибе</w:t>
      </w:r>
      <w:proofErr w:type="gram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результатам сейсморазведочных работ подготовлены новые перспективные зоны нефтегазонакопления. Проводились полевые сейсмические, а также комплексные геофизические исследования в пределах Таймырского полуострова, Енисей-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Хатангского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прогиба,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Анабаро-Лаптевского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региона,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Непско-Ботуобинской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антиклизы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Присаяно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-Енисейской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синеклизы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Сюгджерской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седловины, а также работы, направленные на актуализацию мест заложения новых параметрических скважин. </w:t>
      </w:r>
    </w:p>
    <w:p w14:paraId="38A58611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итогам ранее выполненных в рамках 22 государственных контрактов сейсморазведочных работ на территории Сибирского и Приволжского федеральных округов и на шельфе Российской Федерации завершено обобщение геолого-геофизических материалов.</w:t>
      </w:r>
    </w:p>
    <w:p w14:paraId="41151105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Дальневосточном федеральном округе по результатам сейсморазведки уточнено геологическое строение восточной части Колпаковского прогиба на Западной Камчатке и 4 перспективных участков в Якутии.</w:t>
      </w:r>
      <w:proofErr w:type="gramEnd"/>
    </w:p>
    <w:p w14:paraId="603AB44C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континентальном шельфе России по одному объекту работы завершены. По результатам сейсморазведочных работ уточнено геологическое строение Восточно-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Белоостровской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площади Карского моря.</w:t>
      </w:r>
    </w:p>
    <w:p w14:paraId="4723AC63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геологоразведочных работ 2018 года за счет средств федерального бюджета на территории Российской Федерации локализованы ресурсы углеводородного сырья категории D</w:t>
      </w:r>
      <w:r w:rsidRPr="00022C1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объеме 5059</w:t>
      </w: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млн. </w:t>
      </w:r>
      <w:proofErr w:type="spell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т.н.э</w:t>
      </w:r>
      <w:proofErr w:type="spellEnd"/>
      <w:proofErr w:type="gram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плану – 5776 млн т н.э. Недовыполнение связано с тем, что по 4 объектам работы в 2018 г. не были завершены и перенесены до полного исполнения на 2019г. </w:t>
      </w:r>
      <w:proofErr w:type="gram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Ожидается, что после завершения работ плановые показатели по приросту локализованных ресурсов УВС будут полностью выполнены.).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В течение пяти последних лет прирост ресурсов углеводородного сырья составлял в среднем 6,1 млрд. т. </w:t>
      </w:r>
      <w:r w:rsidRPr="00022C12">
        <w:rPr>
          <w:rFonts w:ascii="Times New Roman" w:eastAsia="Calibri" w:hAnsi="Times New Roman" w:cs="Times New Roman"/>
          <w:sz w:val="28"/>
          <w:szCs w:val="28"/>
        </w:rPr>
        <w:lastRenderedPageBreak/>
        <w:t>условного топлива в год (1 тонна условного топлива равна 1000 м</w:t>
      </w:r>
      <w:r w:rsidRPr="00022C1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газа или 1 тонне нефти).</w:t>
      </w:r>
    </w:p>
    <w:p w14:paraId="3E993791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Прирост запасов УВС составил:</w:t>
      </w:r>
    </w:p>
    <w:p w14:paraId="16F59B35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жидкие углеводороды (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нефть+конденсат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) категории АВ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22C12">
        <w:rPr>
          <w:rFonts w:ascii="Times New Roman" w:eastAsia="Calibri" w:hAnsi="Times New Roman" w:cs="Times New Roman"/>
          <w:sz w:val="28"/>
          <w:szCs w:val="28"/>
        </w:rPr>
        <w:t>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022C12">
        <w:rPr>
          <w:rFonts w:ascii="Times New Roman" w:eastAsia="Calibri" w:hAnsi="Times New Roman" w:cs="Times New Roman"/>
          <w:sz w:val="28"/>
          <w:szCs w:val="28"/>
        </w:rPr>
        <w:t>- 578 млн. т.;</w:t>
      </w:r>
    </w:p>
    <w:p w14:paraId="674FF873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газ (свободный </w:t>
      </w:r>
      <w:proofErr w:type="spell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газ+</w:t>
      </w:r>
      <w:proofErr w:type="gramStart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газ</w:t>
      </w:r>
      <w:proofErr w:type="spellEnd"/>
      <w:proofErr w:type="gramEnd"/>
      <w:r w:rsidRPr="00022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газовых шапок) категории </w:t>
      </w:r>
      <w:r w:rsidRPr="00022C12">
        <w:rPr>
          <w:rFonts w:ascii="Times New Roman" w:eastAsia="Calibri" w:hAnsi="Times New Roman" w:cs="Times New Roman"/>
          <w:sz w:val="28"/>
          <w:szCs w:val="28"/>
        </w:rPr>
        <w:t>АВ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22C12">
        <w:rPr>
          <w:rFonts w:ascii="Times New Roman" w:eastAsia="Calibri" w:hAnsi="Times New Roman" w:cs="Times New Roman"/>
          <w:sz w:val="28"/>
          <w:szCs w:val="28"/>
        </w:rPr>
        <w:t>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– </w:t>
      </w:r>
      <w:r w:rsidRPr="00022C12">
        <w:rPr>
          <w:rFonts w:ascii="Times New Roman" w:eastAsia="Calibri" w:hAnsi="Times New Roman" w:cs="Times New Roman"/>
          <w:sz w:val="28"/>
          <w:szCs w:val="28"/>
        </w:rPr>
        <w:t>673 млрд.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22C12">
        <w:rPr>
          <w:rFonts w:ascii="Times New Roman" w:eastAsia="Calibri" w:hAnsi="Times New Roman" w:cs="Times New Roman"/>
          <w:sz w:val="28"/>
          <w:szCs w:val="28"/>
        </w:rPr>
        <w:t>м</w:t>
      </w:r>
      <w:r w:rsidRPr="00022C1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22C1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FB3676" w14:textId="77777777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80FD307" w14:textId="1550D0D3" w:rsidR="00C274FE" w:rsidRPr="00022C12" w:rsidRDefault="00C274FE" w:rsidP="00C2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022C12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E3020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  <w:t xml:space="preserve"> 2</w:t>
      </w:r>
      <w:r w:rsidRPr="00022C12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  <w:t>. Воспроизводство минерально-сырьевой базы подземных вод (ПВ)</w:t>
      </w:r>
    </w:p>
    <w:p w14:paraId="221F9E9E" w14:textId="77777777" w:rsidR="00C274FE" w:rsidRPr="00022C12" w:rsidRDefault="00C274FE" w:rsidP="00C27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геологоразведочные работы по обеспечению воспроизводства ресурсной базы подземных вод за счет средств федерального бюджета проводились на 19 объектах. В результате получен ожидаемый прирост запасов  питьевых подземных вод в количестве 16,6 тыс. м</w:t>
      </w:r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 сутки по категориям С</w:t>
      </w:r>
      <w:proofErr w:type="gramStart"/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proofErr w:type="gramEnd"/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+С</w:t>
      </w:r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для обеспечения перспективной потребности в питьевой воде г. Смарт Сити Казань. Начаты поисковые работы в долине </w:t>
      </w:r>
      <w:proofErr w:type="spellStart"/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Туймаада</w:t>
      </w:r>
      <w:proofErr w:type="spellEnd"/>
      <w:r w:rsidRPr="00022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 целью питьевого водоснабжения г. Якутска и в районе г. Большой Камень Приморского края для обеспечения резервного водоснабжения населения на случай чрезвычайной ситуации.</w:t>
      </w:r>
    </w:p>
    <w:p w14:paraId="3214DC88" w14:textId="0F84195D" w:rsidR="00C274FE" w:rsidRPr="00022C12" w:rsidRDefault="00C274FE" w:rsidP="00C27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На территории Северо-Западного федерального округа </w:t>
      </w:r>
      <w:r w:rsidR="00BE5D0E" w:rsidRPr="00022C12"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r w:rsidRPr="00022C12">
        <w:rPr>
          <w:rFonts w:ascii="Times New Roman" w:eastAsia="Calibri" w:hAnsi="Times New Roman" w:cs="Times New Roman"/>
          <w:sz w:val="28"/>
          <w:szCs w:val="28"/>
        </w:rPr>
        <w:t>работы по обеспечению охраны подземных вод от загрязнения и истощения путем ликвидации гидрогеологических скважин нераспределенного фонда недр. По состоянию на 31.12.2018 ликвидировано 45 скважин из 56.</w:t>
      </w:r>
    </w:p>
    <w:p w14:paraId="6F649AC1" w14:textId="77777777" w:rsidR="00C11AAC" w:rsidRPr="00022C12" w:rsidRDefault="00C11AAC" w:rsidP="003B3F86">
      <w:pPr>
        <w:spacing w:after="0" w:line="240" w:lineRule="auto"/>
        <w:ind w:firstLine="709"/>
      </w:pPr>
    </w:p>
    <w:p w14:paraId="51C3155A" w14:textId="5867F469" w:rsidR="00C42DD9" w:rsidRPr="00022C12" w:rsidRDefault="00BA4751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E302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3</w:t>
      </w: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D219B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твердых полезных ископаемых (ТПИ)</w:t>
      </w:r>
    </w:p>
    <w:p w14:paraId="15F45484" w14:textId="7F5B8D26" w:rsidR="00675CC8" w:rsidRPr="00022C12" w:rsidRDefault="00675CC8" w:rsidP="00675CC8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022C12">
        <w:rPr>
          <w:color w:val="auto"/>
          <w:sz w:val="28"/>
          <w:szCs w:val="28"/>
        </w:rPr>
        <w:t xml:space="preserve">В 2018 году за счет средств федерального бюджета геологоразведочные работы проводились по 82 объектам на 16 видов твердых полезных ископаемых. Приоритетными, как и в предыдущие годы, являлись работы на высоколиквидные, наиболее привлекательные для лицензирования, полезные ископаемые – золото, алмазы, серебро, металлы платиновой группы. </w:t>
      </w:r>
    </w:p>
    <w:p w14:paraId="4ED1EF3D" w14:textId="77777777" w:rsidR="0011186F" w:rsidRPr="00022C12" w:rsidRDefault="00675CC8" w:rsidP="00675CC8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022C12">
        <w:rPr>
          <w:color w:val="auto"/>
          <w:sz w:val="28"/>
          <w:szCs w:val="28"/>
        </w:rPr>
        <w:t>Более 70% геологоразведочных работ были сосредоточены на территории Сибирского и Дальневосточного федеральных округов</w:t>
      </w:r>
      <w:r w:rsidR="0011186F" w:rsidRPr="00022C12">
        <w:rPr>
          <w:color w:val="auto"/>
          <w:sz w:val="28"/>
          <w:szCs w:val="28"/>
        </w:rPr>
        <w:t>.</w:t>
      </w:r>
    </w:p>
    <w:p w14:paraId="08D59BB8" w14:textId="081709A9" w:rsidR="00830265" w:rsidRPr="00022C12" w:rsidRDefault="0011186F" w:rsidP="00675CC8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022C12">
        <w:rPr>
          <w:color w:val="auto"/>
          <w:sz w:val="28"/>
          <w:szCs w:val="28"/>
        </w:rPr>
        <w:t xml:space="preserve">В рамках исполнения международных обязательств по геологическому изучению </w:t>
      </w:r>
      <w:r w:rsidR="00830265" w:rsidRPr="00022C12">
        <w:rPr>
          <w:color w:val="auto"/>
          <w:sz w:val="28"/>
          <w:szCs w:val="28"/>
        </w:rPr>
        <w:t>участков российских разведочных районов Мирового океана работы проводились в соответствии с утвержденным Международным органом по морскому дну (МОМД) планом работ по следующим направлениям:</w:t>
      </w:r>
      <w:proofErr w:type="gramEnd"/>
    </w:p>
    <w:p w14:paraId="76DA54EF" w14:textId="77777777" w:rsidR="00830265" w:rsidRPr="00022C12" w:rsidRDefault="00830265" w:rsidP="0083026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геологическое изучение железомарганцевых конкреций (ЖМК) рудной провинции </w:t>
      </w: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Кларион-Клиппертон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Тихого океана, на глубоководные полиметаллические сульфиды (ГПС);</w:t>
      </w:r>
    </w:p>
    <w:p w14:paraId="30F94C09" w14:textId="77777777" w:rsidR="00830265" w:rsidRPr="00022C12" w:rsidRDefault="00830265" w:rsidP="0083026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геологическое изучение </w:t>
      </w: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кобальтоносных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железомарганцевых корок (КМК) Магеллановых гор Тихого океана;</w:t>
      </w:r>
    </w:p>
    <w:p w14:paraId="66E6CECF" w14:textId="77777777" w:rsidR="00830265" w:rsidRPr="00022C12" w:rsidRDefault="00830265" w:rsidP="0083026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геологическое изучение глубоководных полиметаллических сульфидов (ГПС) Атлантического океана. </w:t>
      </w:r>
    </w:p>
    <w:p w14:paraId="3F98B75D" w14:textId="6091364D" w:rsidR="00830265" w:rsidRPr="00022C12" w:rsidRDefault="00830265" w:rsidP="0083026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ресурсный потенциал океанских руд по состоянию на 31.12.2018 составляет:</w:t>
      </w:r>
    </w:p>
    <w:p w14:paraId="60BF2E4B" w14:textId="77777777" w:rsidR="00830265" w:rsidRPr="00022C12" w:rsidRDefault="00830265" w:rsidP="0083026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ЖМК – 546 </w:t>
      </w:r>
      <w:proofErr w:type="gram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т;</w:t>
      </w:r>
    </w:p>
    <w:p w14:paraId="215FE657" w14:textId="77777777" w:rsidR="00830265" w:rsidRPr="00022C12" w:rsidRDefault="00830265" w:rsidP="0083026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КМК – 287 </w:t>
      </w:r>
      <w:proofErr w:type="gram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т;</w:t>
      </w:r>
    </w:p>
    <w:p w14:paraId="77144B14" w14:textId="5F8EE372" w:rsidR="00830265" w:rsidRPr="00022C12" w:rsidRDefault="00830265" w:rsidP="0083026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ГПС – 43 </w:t>
      </w:r>
      <w:proofErr w:type="gram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</w:p>
    <w:p w14:paraId="614CCEFB" w14:textId="227F66A0" w:rsidR="0014199D" w:rsidRPr="00022C12" w:rsidRDefault="0014199D" w:rsidP="0014199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компенсации добычи основных видов </w:t>
      </w:r>
      <w:r w:rsidR="004B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</w:t>
      </w:r>
      <w:r w:rsidR="004B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приростом запасов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</w:t>
      </w:r>
    </w:p>
    <w:p w14:paraId="5AAD5C4F" w14:textId="77777777" w:rsidR="0014199D" w:rsidRPr="00022C12" w:rsidRDefault="0014199D" w:rsidP="0014199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14199D" w:rsidRPr="00022C12" w14:paraId="4665599B" w14:textId="77777777" w:rsidTr="0014199D">
        <w:tc>
          <w:tcPr>
            <w:tcW w:w="5046" w:type="dxa"/>
          </w:tcPr>
          <w:p w14:paraId="47BB1678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22C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плану на 2018 год:</w:t>
            </w:r>
          </w:p>
          <w:p w14:paraId="5DB939DF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уголь (100); </w:t>
            </w:r>
          </w:p>
          <w:p w14:paraId="25EDFC7A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уран (100); </w:t>
            </w:r>
          </w:p>
          <w:p w14:paraId="35FB8D57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железо (100);</w:t>
            </w:r>
          </w:p>
          <w:p w14:paraId="0E6A2537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титан (100);</w:t>
            </w:r>
          </w:p>
          <w:p w14:paraId="504F818D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никель (100); </w:t>
            </w:r>
          </w:p>
          <w:p w14:paraId="1529D3F2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медь (100);</w:t>
            </w:r>
          </w:p>
          <w:p w14:paraId="00B4969A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свинец (100); </w:t>
            </w:r>
          </w:p>
          <w:p w14:paraId="2B024174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цинк (100); </w:t>
            </w:r>
          </w:p>
          <w:p w14:paraId="1095B8C4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золото (100); </w:t>
            </w:r>
          </w:p>
          <w:p w14:paraId="5ADDE9F7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алмазы (100). </w:t>
            </w:r>
          </w:p>
        </w:tc>
        <w:tc>
          <w:tcPr>
            <w:tcW w:w="5046" w:type="dxa"/>
          </w:tcPr>
          <w:p w14:paraId="0E65981D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22C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факту</w:t>
            </w:r>
          </w:p>
          <w:p w14:paraId="0DD81FB2" w14:textId="754A143C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уголь (2</w:t>
            </w:r>
            <w:r w:rsidR="00340D1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0); </w:t>
            </w:r>
          </w:p>
          <w:p w14:paraId="3744AC95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уран (0); </w:t>
            </w:r>
          </w:p>
          <w:p w14:paraId="609D9D74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железо (970);</w:t>
            </w:r>
          </w:p>
          <w:p w14:paraId="19AE565E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титан (0);</w:t>
            </w:r>
          </w:p>
          <w:p w14:paraId="18825B8C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никель (0); </w:t>
            </w:r>
          </w:p>
          <w:p w14:paraId="5BFECA39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медь (320); </w:t>
            </w:r>
          </w:p>
          <w:p w14:paraId="58A0C7AB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свинец (220); </w:t>
            </w:r>
          </w:p>
          <w:p w14:paraId="2B18D898" w14:textId="6AE51D93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цинк (1</w:t>
            </w:r>
            <w:r w:rsidR="00340D1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0); </w:t>
            </w:r>
          </w:p>
          <w:p w14:paraId="733A0127" w14:textId="3D3AE3FE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золото (</w:t>
            </w:r>
            <w:r w:rsidR="00340D1D"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); </w:t>
            </w:r>
          </w:p>
          <w:p w14:paraId="134B2F61" w14:textId="77777777" w:rsidR="0014199D" w:rsidRPr="00022C12" w:rsidRDefault="0014199D" w:rsidP="00141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C12">
              <w:rPr>
                <w:rFonts w:ascii="Times New Roman" w:hAnsi="Times New Roman" w:cs="Times New Roman"/>
                <w:i/>
                <w:sz w:val="28"/>
                <w:szCs w:val="28"/>
              </w:rPr>
              <w:t>алмазы (2).</w:t>
            </w:r>
          </w:p>
        </w:tc>
      </w:tr>
    </w:tbl>
    <w:p w14:paraId="1B4A2EE8" w14:textId="77777777" w:rsidR="000C5B48" w:rsidRPr="00022C12" w:rsidRDefault="0014199D" w:rsidP="000C5B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показателей компенсации добычи приростом запасов по урану, титану, никелю и алмазам объясняется получением отрицательных результатов на объектах, по которым планировался прирост запасов. Высокий уровень компенсации по железу связан с весьма значительным приростом запасов на флангах и глубоких горизонтах Лебединского месторождения (Белгородская область). Высокий показатель компенсации по меди объясняется значительным приростом запасов на месторождении Песчанка (Чукотский АО).</w:t>
      </w:r>
    </w:p>
    <w:p w14:paraId="4DB0C42A" w14:textId="07F635EE" w:rsidR="000C5B48" w:rsidRPr="00022C12" w:rsidRDefault="000C5B48" w:rsidP="000C5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права пользования недрами для геологического изучения по «заявительному принципу», 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информацией, размещенной в ФГИС АСЛН по состоянию на 13.02.2019, в</w:t>
      </w:r>
      <w:r w:rsidRPr="00022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году</w:t>
      </w: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</w:t>
      </w:r>
    </w:p>
    <w:p w14:paraId="11626A2F" w14:textId="77777777" w:rsidR="000C5B48" w:rsidRPr="00022C12" w:rsidRDefault="000C5B48" w:rsidP="000C5B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C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1448 заявок</w:t>
      </w:r>
      <w:r w:rsidRPr="00022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получение права пользования участком недр на твердые полезные ископаемые по «заявительному принципу», из них:</w:t>
      </w:r>
    </w:p>
    <w:p w14:paraId="07904845" w14:textId="77777777" w:rsidR="000C5B48" w:rsidRPr="00022C12" w:rsidRDefault="000C5B48" w:rsidP="000C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C12">
        <w:rPr>
          <w:rFonts w:ascii="Times New Roman" w:eastAsia="Calibri" w:hAnsi="Times New Roman" w:cs="Times New Roman"/>
          <w:color w:val="000000"/>
          <w:sz w:val="28"/>
          <w:szCs w:val="28"/>
        </w:rPr>
        <w:t>- находятся на рассмотрении - 444;</w:t>
      </w:r>
    </w:p>
    <w:p w14:paraId="45314593" w14:textId="77777777" w:rsidR="000C5B48" w:rsidRPr="00022C12" w:rsidRDefault="000C5B48" w:rsidP="000C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C12">
        <w:rPr>
          <w:rFonts w:ascii="Times New Roman" w:eastAsia="Calibri" w:hAnsi="Times New Roman" w:cs="Times New Roman"/>
          <w:color w:val="000000"/>
          <w:sz w:val="28"/>
          <w:szCs w:val="28"/>
        </w:rPr>
        <w:t>- возвращены - 233;</w:t>
      </w:r>
    </w:p>
    <w:p w14:paraId="0E46EF53" w14:textId="77777777" w:rsidR="000C5B48" w:rsidRPr="00022C12" w:rsidRDefault="000C5B48" w:rsidP="000C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C12">
        <w:rPr>
          <w:rFonts w:ascii="Times New Roman" w:eastAsia="Calibri" w:hAnsi="Times New Roman" w:cs="Times New Roman"/>
          <w:color w:val="000000"/>
          <w:sz w:val="28"/>
          <w:szCs w:val="28"/>
        </w:rPr>
        <w:t>- отклонены - 237;</w:t>
      </w:r>
    </w:p>
    <w:p w14:paraId="5257EB3D" w14:textId="687298E3" w:rsidR="000C5B48" w:rsidRPr="00022C12" w:rsidRDefault="00340D1D" w:rsidP="000C5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удовлетворены – 534.</w:t>
      </w:r>
    </w:p>
    <w:p w14:paraId="70832AA0" w14:textId="77777777" w:rsidR="007D6FCA" w:rsidRPr="00022C12" w:rsidRDefault="007D6FCA" w:rsidP="007D6F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53498" w14:textId="77777777" w:rsidR="00090DFA" w:rsidRDefault="00090DFA" w:rsidP="00090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14:paraId="5A6F60B5" w14:textId="77777777" w:rsidR="00090DFA" w:rsidRPr="00022C12" w:rsidRDefault="00090DFA" w:rsidP="00090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06B86626" w14:textId="7DDDE893" w:rsidR="00090DFA" w:rsidRPr="00090DFA" w:rsidRDefault="00090DFA" w:rsidP="00090DFA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022C12">
        <w:rPr>
          <w:b/>
          <w:i/>
          <w:color w:val="E36C0A" w:themeColor="accent6" w:themeShade="BF"/>
          <w:sz w:val="28"/>
          <w:szCs w:val="28"/>
        </w:rPr>
        <w:t>Цель. Повышение качества, полноты и оперативности сбора и использования геологической информации о недрах Российской Федерац</w:t>
      </w:r>
      <w:proofErr w:type="gramStart"/>
      <w:r w:rsidRPr="00022C12">
        <w:rPr>
          <w:b/>
          <w:i/>
          <w:color w:val="E36C0A" w:themeColor="accent6" w:themeShade="BF"/>
          <w:sz w:val="28"/>
          <w:szCs w:val="28"/>
        </w:rPr>
        <w:t>ии и ее</w:t>
      </w:r>
      <w:proofErr w:type="gramEnd"/>
      <w:r w:rsidRPr="00022C12">
        <w:rPr>
          <w:b/>
          <w:i/>
          <w:color w:val="E36C0A" w:themeColor="accent6" w:themeShade="BF"/>
          <w:sz w:val="28"/>
          <w:szCs w:val="28"/>
        </w:rPr>
        <w:t xml:space="preserve"> континентального шельфа для осуществления функций государственного управления и предоставления геологической информации широкому кругу потребителей.</w:t>
      </w:r>
    </w:p>
    <w:p w14:paraId="6B338629" w14:textId="77777777" w:rsidR="00090DFA" w:rsidRDefault="00090DFA" w:rsidP="00090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Федеральное агентство по недропользованию через подведомственные учреждения – фонды геологической информации, осуществляет сбор, хранение и предоставление в пользование широкому кругу потребителей геологической информации о недрах, </w:t>
      </w: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в традиционном (бумажном), так и в цифровом виде.</w:t>
      </w:r>
    </w:p>
    <w:p w14:paraId="32AEC23D" w14:textId="77777777" w:rsidR="00090DFA" w:rsidRPr="008C7EDD" w:rsidRDefault="00090DFA" w:rsidP="00090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2018 году в федеральном и территориальных фондах геологической информации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всего было </w:t>
      </w: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20 000 единиц хранения (общий объем геологических фондов превысил </w:t>
      </w: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20,75 млн. единиц хранения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Растет востребованность геологических данных, увеличивается количество интернет - </w:t>
      </w: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посещений электронных ресурсов – каталогов федерального фонда геологических данных (с 880 тыс. в 2017 до 980 тыс. в 2018) и интерактивной карты недропользования (с 38 тыс. до 75 тыс. уникальных обращений).</w:t>
      </w:r>
      <w:r w:rsidRPr="00443B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Составлен 101 выпуск Государственного баланса запасов, информационный массив Государственного кадастра месторождений и рудопроявлений полезных ископаемых увеличен на 800 паспортов.</w:t>
      </w:r>
    </w:p>
    <w:p w14:paraId="755E74D9" w14:textId="77777777" w:rsidR="00090DFA" w:rsidRDefault="00090DFA" w:rsidP="00090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услуг  в 2018 году:</w:t>
      </w:r>
    </w:p>
    <w:p w14:paraId="43B5AF1B" w14:textId="77777777" w:rsidR="00090DFA" w:rsidRDefault="00090DFA" w:rsidP="00090DFA">
      <w:pPr>
        <w:pStyle w:val="a3"/>
        <w:numPr>
          <w:ilvl w:val="0"/>
          <w:numId w:val="7"/>
        </w:numPr>
        <w:spacing w:before="0" w:after="0"/>
        <w:ind w:left="357" w:hanging="357"/>
        <w:rPr>
          <w:rFonts w:eastAsia="Calibri" w:cs="Times New Roman"/>
          <w:color w:val="000000" w:themeColor="text1"/>
          <w:sz w:val="28"/>
          <w:szCs w:val="28"/>
        </w:rPr>
      </w:pPr>
      <w:r w:rsidRPr="00D9391B">
        <w:rPr>
          <w:rFonts w:eastAsia="Calibri" w:cs="Times New Roman"/>
          <w:color w:val="000000" w:themeColor="text1"/>
          <w:sz w:val="28"/>
          <w:szCs w:val="28"/>
        </w:rPr>
        <w:t>по ведению государственного учета и обеспечению ведения государственного реестра работ по геологическому изучению недр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 - зарегистрировано более 4500 работ по геологическому изучению недр;</w:t>
      </w:r>
    </w:p>
    <w:p w14:paraId="2C0B6578" w14:textId="77777777" w:rsidR="00090DFA" w:rsidRPr="00D9391B" w:rsidRDefault="00090DFA" w:rsidP="00090DFA">
      <w:pPr>
        <w:pStyle w:val="a3"/>
        <w:numPr>
          <w:ilvl w:val="0"/>
          <w:numId w:val="7"/>
        </w:numPr>
        <w:spacing w:after="0"/>
        <w:rPr>
          <w:rFonts w:eastAsia="Calibri" w:cs="Times New Roman"/>
          <w:color w:val="000000" w:themeColor="text1"/>
          <w:sz w:val="28"/>
          <w:szCs w:val="28"/>
        </w:rPr>
      </w:pPr>
      <w:r w:rsidRPr="00D9391B">
        <w:rPr>
          <w:rFonts w:eastAsia="Calibri" w:cs="Times New Roman"/>
          <w:color w:val="000000" w:themeColor="text1"/>
          <w:sz w:val="28"/>
          <w:szCs w:val="28"/>
        </w:rPr>
        <w:t>по предоставлению в пользование геологической информации о недрах, полученной в результате государственного геологического изучения недр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 - рассмотрено более 13700 заявок на предоставление в пользование геологической информации.</w:t>
      </w:r>
    </w:p>
    <w:p w14:paraId="4C406B15" w14:textId="77777777" w:rsidR="00090DFA" w:rsidRDefault="00090DFA" w:rsidP="00090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Оперативная информационная поддержка государственного управления фондом недр реализована на основе использования федеральных государственных информационных систем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(ФГИС)</w:t>
      </w: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таких, как «Автоматизированная система лицензирования недропользования»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(АСЛН)</w:t>
      </w:r>
      <w:r w:rsidRPr="0050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«Учет и баланс подземных вод».</w:t>
      </w:r>
    </w:p>
    <w:p w14:paraId="5E58F133" w14:textId="77777777" w:rsidR="00090DFA" w:rsidRDefault="00090DFA" w:rsidP="00090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Продолжена разработка ФГИС «Единый фонд геологической информации о недрах» (ЕФГИ), 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.ч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152A12F0" w14:textId="77777777" w:rsidR="00090DFA" w:rsidRDefault="00090DFA" w:rsidP="00090DFA">
      <w:pPr>
        <w:pStyle w:val="a3"/>
        <w:numPr>
          <w:ilvl w:val="0"/>
          <w:numId w:val="8"/>
        </w:numPr>
        <w:spacing w:after="0"/>
        <w:ind w:left="426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>Разработано Ч</w:t>
      </w:r>
      <w:r w:rsidRPr="00D9391B">
        <w:rPr>
          <w:rFonts w:eastAsia="Calibri" w:cs="Times New Roman"/>
          <w:color w:val="000000" w:themeColor="text1"/>
          <w:sz w:val="28"/>
          <w:szCs w:val="28"/>
        </w:rPr>
        <w:t>астное техническое задание на подсистему первичной геологической информации</w:t>
      </w:r>
      <w:r>
        <w:rPr>
          <w:rFonts w:eastAsia="Calibri" w:cs="Times New Roman"/>
          <w:color w:val="000000" w:themeColor="text1"/>
          <w:sz w:val="28"/>
          <w:szCs w:val="28"/>
        </w:rPr>
        <w:t>;</w:t>
      </w:r>
    </w:p>
    <w:p w14:paraId="0A2539C3" w14:textId="77777777" w:rsidR="00090DFA" w:rsidRDefault="00090DFA" w:rsidP="00090DFA">
      <w:pPr>
        <w:pStyle w:val="a3"/>
        <w:numPr>
          <w:ilvl w:val="0"/>
          <w:numId w:val="8"/>
        </w:numPr>
        <w:spacing w:after="0"/>
        <w:ind w:left="426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>Введена в опытную эксплуатацию подсистема интерпретированной геологической информации;</w:t>
      </w:r>
    </w:p>
    <w:p w14:paraId="5125A6A3" w14:textId="77777777" w:rsidR="00090DFA" w:rsidRPr="00D9391B" w:rsidRDefault="00090DFA" w:rsidP="00090DFA">
      <w:pPr>
        <w:pStyle w:val="a3"/>
        <w:numPr>
          <w:ilvl w:val="0"/>
          <w:numId w:val="8"/>
        </w:numPr>
        <w:spacing w:after="0"/>
        <w:ind w:left="426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>Подсистема «Реестр ЕФГИ» наполнена материалами геологических фондов.</w:t>
      </w:r>
    </w:p>
    <w:p w14:paraId="2C7688EB" w14:textId="77777777" w:rsidR="00090DFA" w:rsidRDefault="00090DFA" w:rsidP="00090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C2DE85" w14:textId="77777777" w:rsidR="00D251BB" w:rsidRPr="00022C12" w:rsidRDefault="00D251BB" w:rsidP="003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14:paraId="56DF67DC" w14:textId="77777777" w:rsidR="00CC17BE" w:rsidRPr="00022C12" w:rsidRDefault="00CC17BE" w:rsidP="003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ОРГАНИЗАЦИОННОЕ ОБЕСПЕЧЕНИЕ ГОСУДАРСТВЕННОЙ СИСТЕМЫ ЛИЦЕНЗИРОВАНИЯ ПОЛЬЗОВАНИЯ НЕДРАМИ</w:t>
      </w:r>
    </w:p>
    <w:p w14:paraId="53A05111" w14:textId="77777777" w:rsidR="00CC17BE" w:rsidRPr="00022C12" w:rsidRDefault="00CC17BE" w:rsidP="003B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14:paraId="124C1C4A" w14:textId="77777777" w:rsidR="003B3F86" w:rsidRPr="00022C12" w:rsidRDefault="00127928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</w:t>
      </w:r>
      <w:r w:rsidR="002B38A6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Обеспечение комплексного рационального использования и охраны недр в целях защиты интересов государства и граждан Российской Федерации, а также прав пользователей недр.</w:t>
      </w:r>
    </w:p>
    <w:p w14:paraId="3950E4BC" w14:textId="77777777" w:rsidR="0014199D" w:rsidRPr="00022C12" w:rsidRDefault="0014199D" w:rsidP="0014199D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организовано проведение 439 конкурсов и аукционов на право пользования недрами, в </w:t>
      </w: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УВС – 140, ТПИ – 299.</w:t>
      </w:r>
    </w:p>
    <w:p w14:paraId="6571F9D9" w14:textId="62AF0175" w:rsidR="0014199D" w:rsidRPr="00022C12" w:rsidRDefault="0014199D" w:rsidP="0014199D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аукционов на право пользования недрами с целью геологического изучения, разведки и добычи полезных ископаемых предоставлено в пользование 293 участка недр, в </w:t>
      </w:r>
      <w:proofErr w:type="spellStart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УВС – 62, ТПИ – 231. Из них наиболее крупные (по размеру разового платежа):</w:t>
      </w:r>
    </w:p>
    <w:p w14:paraId="608AF623" w14:textId="77777777" w:rsidR="0014199D" w:rsidRPr="00022C12" w:rsidRDefault="0014199D" w:rsidP="0014199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УВС</w:t>
      </w:r>
      <w:r w:rsidRPr="00022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4E1183AA" w14:textId="77777777" w:rsidR="0014199D" w:rsidRPr="00022C12" w:rsidRDefault="0014199D" w:rsidP="00141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Оренбургская область (участки недр </w:t>
      </w:r>
      <w:proofErr w:type="spellStart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Надеждинский</w:t>
      </w:r>
      <w:proofErr w:type="spellEnd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Корноваринский</w:t>
      </w:r>
      <w:proofErr w:type="spellEnd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Савицкий, Ясногорский, </w:t>
      </w:r>
      <w:proofErr w:type="spellStart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Журавлевский</w:t>
      </w:r>
      <w:proofErr w:type="spellEnd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0F500A1" w14:textId="77777777" w:rsidR="0014199D" w:rsidRPr="00022C12" w:rsidRDefault="0014199D" w:rsidP="00141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 (Южно-</w:t>
      </w:r>
      <w:proofErr w:type="spellStart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Лескинский</w:t>
      </w:r>
      <w:proofErr w:type="spellEnd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участок);</w:t>
      </w:r>
    </w:p>
    <w:p w14:paraId="2225DB3C" w14:textId="77777777" w:rsidR="0014199D" w:rsidRPr="00022C12" w:rsidRDefault="0014199D" w:rsidP="00141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 – Югра (Южно-</w:t>
      </w:r>
      <w:proofErr w:type="spellStart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Санлорский</w:t>
      </w:r>
      <w:proofErr w:type="spellEnd"/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участок);</w:t>
      </w:r>
    </w:p>
    <w:p w14:paraId="21584FDC" w14:textId="77777777" w:rsidR="0014199D" w:rsidRPr="00022C12" w:rsidRDefault="0014199D" w:rsidP="00141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Ямало-Ненецкий автономный округ (Южно-Обский участок);</w:t>
      </w:r>
    </w:p>
    <w:p w14:paraId="1702BB18" w14:textId="3C6FACEA" w:rsidR="0014199D" w:rsidRPr="00022C12" w:rsidRDefault="0014199D" w:rsidP="00141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Самарская область (Успенский участок).</w:t>
      </w:r>
    </w:p>
    <w:p w14:paraId="5ED05724" w14:textId="77777777" w:rsidR="0014199D" w:rsidRPr="00022C12" w:rsidRDefault="0014199D" w:rsidP="0014199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ТПИ</w:t>
      </w:r>
      <w:r w:rsidRPr="00022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9ABEE98" w14:textId="77777777" w:rsidR="0014199D" w:rsidRPr="00022C12" w:rsidRDefault="0014199D" w:rsidP="0014199D">
      <w:pPr>
        <w:numPr>
          <w:ilvl w:val="0"/>
          <w:numId w:val="4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Кабардино-Балкарская Республика (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Тырныаузское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вольфрамо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-молибденовое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месторождение);</w:t>
      </w:r>
    </w:p>
    <w:p w14:paraId="53ED3A59" w14:textId="77777777" w:rsidR="0014199D" w:rsidRPr="00022C12" w:rsidRDefault="0014199D" w:rsidP="0014199D">
      <w:pPr>
        <w:numPr>
          <w:ilvl w:val="0"/>
          <w:numId w:val="4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Республика Хакасия (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Бейский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-Западный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Бейского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каменноугольного месторождения);</w:t>
      </w:r>
    </w:p>
    <w:p w14:paraId="4EE44F35" w14:textId="77777777" w:rsidR="0014199D" w:rsidRPr="00022C12" w:rsidRDefault="0014199D" w:rsidP="0014199D">
      <w:pPr>
        <w:numPr>
          <w:ilvl w:val="0"/>
          <w:numId w:val="4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Кемеровская область (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Комсомольский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Глубокий Ленинского каменноугольного месторождения);</w:t>
      </w:r>
    </w:p>
    <w:p w14:paraId="27BF8D28" w14:textId="77777777" w:rsidR="0014199D" w:rsidRPr="00022C12" w:rsidRDefault="0014199D" w:rsidP="0014199D">
      <w:pPr>
        <w:numPr>
          <w:ilvl w:val="0"/>
          <w:numId w:val="4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Иркутская область (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Светловское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рудное поле);</w:t>
      </w:r>
    </w:p>
    <w:p w14:paraId="7A96F665" w14:textId="77777777" w:rsidR="0014199D" w:rsidRPr="00022C12" w:rsidRDefault="0014199D" w:rsidP="0014199D">
      <w:pPr>
        <w:numPr>
          <w:ilvl w:val="0"/>
          <w:numId w:val="4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Кемеровская область (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Усковский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Ерунаковского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каменноугольного месторождения);</w:t>
      </w:r>
    </w:p>
    <w:p w14:paraId="0C7769BF" w14:textId="77777777" w:rsidR="0014199D" w:rsidRPr="00022C12" w:rsidRDefault="0014199D" w:rsidP="0014199D">
      <w:pPr>
        <w:numPr>
          <w:ilvl w:val="0"/>
          <w:numId w:val="4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Амурская область (Малая Тында,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Игак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Амкарчи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C206AD3" w14:textId="77777777" w:rsidR="0014199D" w:rsidRPr="00022C12" w:rsidRDefault="0014199D" w:rsidP="0014199D">
      <w:pPr>
        <w:numPr>
          <w:ilvl w:val="0"/>
          <w:numId w:val="4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Магаданская область (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руч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Пенный с притоками, лев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руч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Мукэлкэн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14:paraId="78C8CE79" w14:textId="1E9957AD" w:rsidR="00A52EE4" w:rsidRPr="00022C12" w:rsidRDefault="00A52EE4" w:rsidP="00A52EE4">
      <w:pPr>
        <w:spacing w:after="0" w:line="21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По итогам 2018 года предоставлено в пользование 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>1698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>ков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недр, из них: на УВС - 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>345</w:t>
      </w:r>
      <w:r w:rsidRPr="00022C12">
        <w:rPr>
          <w:rFonts w:ascii="Times New Roman" w:eastAsia="Calibri" w:hAnsi="Times New Roman" w:cs="Times New Roman"/>
          <w:sz w:val="28"/>
          <w:szCs w:val="28"/>
        </w:rPr>
        <w:t>, ТПИ – 1353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EF05D3" w14:textId="548663FC" w:rsidR="00A52EE4" w:rsidRPr="00022C12" w:rsidRDefault="00A52EE4" w:rsidP="00A52EE4">
      <w:pPr>
        <w:spacing w:after="0" w:line="21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Количество лицензий, в которые были внесены изменения - 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>1451</w:t>
      </w:r>
      <w:r w:rsidRPr="00022C12">
        <w:rPr>
          <w:rFonts w:ascii="Times New Roman" w:eastAsia="Calibri" w:hAnsi="Times New Roman" w:cs="Times New Roman"/>
          <w:sz w:val="28"/>
          <w:szCs w:val="28"/>
        </w:rPr>
        <w:t>,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 xml:space="preserve"> из них: на </w:t>
      </w:r>
      <w:r w:rsidRPr="00022C12">
        <w:rPr>
          <w:rFonts w:ascii="Times New Roman" w:eastAsia="Calibri" w:hAnsi="Times New Roman" w:cs="Times New Roman"/>
          <w:sz w:val="28"/>
          <w:szCs w:val="28"/>
        </w:rPr>
        <w:t>УВС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 xml:space="preserve"> – 669, на 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ТПИ </w:t>
      </w:r>
      <w:r w:rsidR="00022C12">
        <w:rPr>
          <w:rFonts w:ascii="Times New Roman" w:eastAsia="Calibri" w:hAnsi="Times New Roman" w:cs="Times New Roman"/>
          <w:sz w:val="28"/>
          <w:szCs w:val="28"/>
        </w:rPr>
        <w:t>–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782</w:t>
      </w:r>
      <w:r w:rsidR="00022C1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BE3CBA" w14:textId="4094BCF8" w:rsidR="00720C77" w:rsidRPr="00022C12" w:rsidRDefault="00FE355D" w:rsidP="00022C12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Комиссией </w:t>
      </w:r>
      <w:r w:rsidR="00720C77" w:rsidRPr="00022C12">
        <w:rPr>
          <w:rFonts w:ascii="Times New Roman" w:eastAsia="Calibri" w:hAnsi="Times New Roman" w:cs="Times New Roman"/>
          <w:sz w:val="28"/>
          <w:szCs w:val="28"/>
        </w:rPr>
        <w:t xml:space="preserve">Роснедр (включая комиссии территориальных органов Роснедр по федеральным округами) </w:t>
      </w:r>
      <w:r w:rsidRPr="00022C12">
        <w:rPr>
          <w:rFonts w:ascii="Times New Roman" w:eastAsia="Calibri" w:hAnsi="Times New Roman" w:cs="Times New Roman"/>
          <w:sz w:val="28"/>
          <w:szCs w:val="28"/>
        </w:rPr>
        <w:t>по рассмотрению вопросов по досрочному прекращению, приостановлению или ограничению прав поль</w:t>
      </w:r>
      <w:r w:rsidR="00A52EE4" w:rsidRPr="00022C12">
        <w:rPr>
          <w:rFonts w:ascii="Times New Roman" w:eastAsia="Calibri" w:hAnsi="Times New Roman" w:cs="Times New Roman"/>
          <w:sz w:val="28"/>
          <w:szCs w:val="28"/>
        </w:rPr>
        <w:t xml:space="preserve">зования недрами приняты решение 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досрочно 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прекратить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право пользования недрами </w:t>
      </w:r>
      <w:r w:rsidR="001A7156" w:rsidRPr="00022C1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>75</w:t>
      </w:r>
      <w:r w:rsidR="001A7156" w:rsidRPr="00022C12">
        <w:rPr>
          <w:rFonts w:ascii="Times New Roman" w:eastAsia="Calibri" w:hAnsi="Times New Roman" w:cs="Times New Roman"/>
          <w:sz w:val="28"/>
          <w:szCs w:val="28"/>
        </w:rPr>
        <w:t xml:space="preserve"> лицензиям (УВС – </w:t>
      </w:r>
      <w:r w:rsidR="00022C12" w:rsidRPr="00022C12">
        <w:rPr>
          <w:rFonts w:ascii="Times New Roman" w:eastAsia="Calibri" w:hAnsi="Times New Roman" w:cs="Times New Roman"/>
          <w:sz w:val="28"/>
          <w:szCs w:val="28"/>
        </w:rPr>
        <w:t>13</w:t>
      </w:r>
      <w:r w:rsidR="001A7156" w:rsidRPr="00022C12">
        <w:rPr>
          <w:rFonts w:ascii="Times New Roman" w:eastAsia="Calibri" w:hAnsi="Times New Roman" w:cs="Times New Roman"/>
          <w:sz w:val="28"/>
          <w:szCs w:val="28"/>
        </w:rPr>
        <w:t xml:space="preserve">, ТПИ – </w:t>
      </w:r>
      <w:r w:rsidR="00A52EE4" w:rsidRPr="00022C12">
        <w:rPr>
          <w:rFonts w:ascii="Times New Roman" w:eastAsia="Calibri" w:hAnsi="Times New Roman" w:cs="Times New Roman"/>
          <w:sz w:val="28"/>
          <w:szCs w:val="28"/>
        </w:rPr>
        <w:t>62</w:t>
      </w:r>
      <w:r w:rsidR="001A7156" w:rsidRPr="00022C1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90CBC69" w14:textId="438ED59D" w:rsidR="0014199D" w:rsidRPr="00022C12" w:rsidRDefault="00720C77" w:rsidP="00022C12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022C12">
        <w:rPr>
          <w:rFonts w:ascii="Times New Roman" w:hAnsi="Times New Roman" w:cs="Times New Roman"/>
          <w:sz w:val="28"/>
          <w:szCs w:val="28"/>
        </w:rPr>
        <w:t>Доходы федерального бюджета от разовых платежей</w:t>
      </w:r>
      <w:r w:rsidR="00FF70A8" w:rsidRPr="00022C12">
        <w:rPr>
          <w:rFonts w:ascii="Times New Roman" w:hAnsi="Times New Roman" w:cs="Times New Roman"/>
          <w:sz w:val="28"/>
          <w:szCs w:val="28"/>
        </w:rPr>
        <w:t xml:space="preserve"> за пользование недрами</w:t>
      </w:r>
      <w:r w:rsidR="00923C5F" w:rsidRPr="00022C12">
        <w:rPr>
          <w:rFonts w:ascii="Times New Roman" w:hAnsi="Times New Roman" w:cs="Times New Roman"/>
          <w:sz w:val="28"/>
          <w:szCs w:val="28"/>
        </w:rPr>
        <w:t>, администрируемых Федеральным агентством по недропользованию,</w:t>
      </w:r>
      <w:r w:rsidRPr="00022C1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35773" w:rsidRPr="00022C12">
        <w:rPr>
          <w:rFonts w:ascii="Times New Roman" w:hAnsi="Times New Roman" w:cs="Times New Roman"/>
          <w:sz w:val="28"/>
          <w:szCs w:val="28"/>
        </w:rPr>
        <w:t>25,8</w:t>
      </w:r>
      <w:r w:rsidR="00FF70A8" w:rsidRPr="00022C12">
        <w:rPr>
          <w:rFonts w:ascii="Times New Roman" w:hAnsi="Times New Roman" w:cs="Times New Roman"/>
          <w:sz w:val="28"/>
          <w:szCs w:val="28"/>
        </w:rPr>
        <w:t xml:space="preserve"> млрд. руб. (</w:t>
      </w:r>
      <w:r w:rsidR="0014199D" w:rsidRPr="00022C1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в том числе разовые платежи по углеводородам составили – 15,7</w:t>
      </w:r>
      <w:r w:rsidR="0014199D" w:rsidRPr="00022C1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 </w:t>
      </w:r>
      <w:r w:rsidR="0014199D" w:rsidRPr="00022C1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млрд.</w:t>
      </w:r>
      <w:r w:rsidR="0014199D" w:rsidRPr="00022C1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 </w:t>
      </w:r>
      <w:r w:rsidR="0014199D" w:rsidRPr="00022C1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руб., по твердым полезным ископаемым – 10,1 млрд. руб., по минеральной воде и лечебной грязи – 15,5 млн. руб.).</w:t>
      </w:r>
    </w:p>
    <w:p w14:paraId="215140EC" w14:textId="77777777" w:rsidR="003B3F86" w:rsidRPr="00022C12" w:rsidRDefault="003B3F86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2F09B6F7" w14:textId="77777777" w:rsidR="00176148" w:rsidRPr="00022C12" w:rsidRDefault="00176148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И ПРОВЕДЕНИЕ ГОСУДАРСТВЕННОЙ ЭКСПЕРТИЗЫ ИНФОРМАЦИИ О РАЗВЕДАННЫХ ЗАПАСАХ ПОЛЕЗНЫХ ИСКОПАЕМЫХ</w:t>
      </w:r>
    </w:p>
    <w:p w14:paraId="22BCF68D" w14:textId="77777777" w:rsidR="00176148" w:rsidRPr="00022C12" w:rsidRDefault="00176148" w:rsidP="003B3F86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14:paraId="464B4A60" w14:textId="77777777" w:rsidR="00033DF3" w:rsidRPr="00022C12" w:rsidRDefault="00176148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 Создание условий для рационального комплексного</w:t>
      </w:r>
      <w:r w:rsidR="00AC20A3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использования недр, </w:t>
      </w:r>
      <w:r w:rsidR="00AC20A3" w:rsidRPr="00022C12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государственного учета запасов полезных ископаемых</w:t>
      </w:r>
    </w:p>
    <w:p w14:paraId="46CC42E4" w14:textId="77777777" w:rsidR="00B35773" w:rsidRPr="00022C12" w:rsidRDefault="00B35773" w:rsidP="00B35773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Федеральным бюджетным учреждением «Государственная комиссия по запасам" (ФБУ «ГКЗ») была проведена государственная экспертиза информации о разведанных запасах 3720 объектов, в </w:t>
      </w: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на УВС – 3032, ПВ – 137, ТПИ – 651.</w:t>
      </w:r>
    </w:p>
    <w:p w14:paraId="6DA07064" w14:textId="4F1DBC43" w:rsidR="00CB0570" w:rsidRPr="00022C12" w:rsidRDefault="00B35773" w:rsidP="005152A8">
      <w:pPr>
        <w:tabs>
          <w:tab w:val="righ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C12">
        <w:rPr>
          <w:rFonts w:ascii="Times New Roman" w:hAnsi="Times New Roman" w:cs="Times New Roman"/>
          <w:sz w:val="28"/>
          <w:szCs w:val="28"/>
        </w:rPr>
        <w:t>В 2018 году за счет средств недропользователей на государственный баланс (по данным отчетов ФБУ «ГКЗ») были впервые поставлены запасы</w:t>
      </w:r>
      <w:r w:rsidR="005152A8" w:rsidRPr="00022C12">
        <w:rPr>
          <w:rFonts w:ascii="Times New Roman" w:hAnsi="Times New Roman" w:cs="Times New Roman"/>
          <w:sz w:val="28"/>
          <w:szCs w:val="28"/>
        </w:rPr>
        <w:t xml:space="preserve"> 175 месторождений полезных ископаемых, в том числе:</w:t>
      </w:r>
    </w:p>
    <w:p w14:paraId="42CC43E3" w14:textId="77777777" w:rsidR="005152A8" w:rsidRPr="00022C12" w:rsidRDefault="005152A8" w:rsidP="005152A8">
      <w:pPr>
        <w:tabs>
          <w:tab w:val="righ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FB4EE" w14:textId="472A9E71" w:rsidR="005152A8" w:rsidRPr="00022C12" w:rsidRDefault="005152A8" w:rsidP="005152A8">
      <w:pPr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hAnsi="Times New Roman" w:cs="Times New Roman"/>
          <w:b/>
          <w:sz w:val="28"/>
          <w:szCs w:val="28"/>
        </w:rPr>
        <w:t xml:space="preserve">УВС – 55, из </w:t>
      </w:r>
      <w:proofErr w:type="gramStart"/>
      <w:r w:rsidRPr="00022C1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2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12">
        <w:rPr>
          <w:rFonts w:ascii="Times New Roman" w:eastAsia="Calibri" w:hAnsi="Times New Roman" w:cs="Times New Roman"/>
          <w:b/>
          <w:sz w:val="28"/>
          <w:szCs w:val="28"/>
        </w:rPr>
        <w:t>наиболее крупными открытиями являются</w:t>
      </w:r>
      <w:r w:rsidRPr="00022C1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C5CCA55" w14:textId="77777777" w:rsidR="005152A8" w:rsidRPr="00022C12" w:rsidRDefault="005152A8" w:rsidP="005152A8">
      <w:pPr>
        <w:numPr>
          <w:ilvl w:val="0"/>
          <w:numId w:val="5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нефтяные месторождения Нептун и Тритон, расположенные в акватории Охотского моря, с извлекаемыми запасами нефти кат. С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>+С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– 70,1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млн.т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. и 44,9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млн.т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. соответственно;</w:t>
      </w:r>
    </w:p>
    <w:p w14:paraId="7ECAD75F" w14:textId="77777777" w:rsidR="005152A8" w:rsidRPr="00022C12" w:rsidRDefault="005152A8" w:rsidP="005152A8">
      <w:pPr>
        <w:numPr>
          <w:ilvl w:val="0"/>
          <w:numId w:val="5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нефтяное месторождение Иртышское, расположенное в Тюменской области, с извлекаемыми запасами нефти кат. С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>+С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– 21,4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млн.т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46B55611" w14:textId="77777777" w:rsidR="005152A8" w:rsidRPr="00022C12" w:rsidRDefault="005152A8" w:rsidP="005152A8">
      <w:pPr>
        <w:numPr>
          <w:ilvl w:val="0"/>
          <w:numId w:val="5"/>
        </w:numPr>
        <w:spacing w:after="0" w:line="21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lastRenderedPageBreak/>
        <w:t>уникальное Северо-Обское газоконденсатное месторождение, расположенное в акватории Карского моря, с извлекаемыми запасами газа кат. 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22C12">
        <w:rPr>
          <w:rFonts w:ascii="Times New Roman" w:eastAsia="Calibri" w:hAnsi="Times New Roman" w:cs="Times New Roman"/>
          <w:sz w:val="28"/>
          <w:szCs w:val="28"/>
        </w:rPr>
        <w:t>+С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– 322/273 млрд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геол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извлк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) и с извлекаемыми запасами конденсата кат. С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>+С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– 18,959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млн.т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5B39C13" w14:textId="77777777" w:rsidR="005152A8" w:rsidRPr="00022C12" w:rsidRDefault="005152A8" w:rsidP="005152A8">
      <w:pPr>
        <w:spacing w:after="0"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>Вместе с тем, самое большое количество открытий произошло в Приволжском федеральном округе – 39 мелких и очень мелких по запасам нефти месторождений (суммарные запасы нефти по категориям С</w:t>
      </w:r>
      <w:proofErr w:type="gramStart"/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>+С</w:t>
      </w:r>
      <w:r w:rsidRPr="00022C1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составляют 21,6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млн.т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254EB0E2" w14:textId="22D17FC9" w:rsidR="005152A8" w:rsidRPr="00022C12" w:rsidRDefault="005152A8" w:rsidP="005152A8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C12">
        <w:rPr>
          <w:rFonts w:ascii="Times New Roman" w:hAnsi="Times New Roman" w:cs="Times New Roman"/>
          <w:b/>
          <w:sz w:val="28"/>
          <w:szCs w:val="28"/>
        </w:rPr>
        <w:tab/>
        <w:t xml:space="preserve">ТПИ – 120, из </w:t>
      </w:r>
      <w:proofErr w:type="gramStart"/>
      <w:r w:rsidRPr="00022C1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22C12">
        <w:rPr>
          <w:rFonts w:ascii="Times New Roman" w:hAnsi="Times New Roman" w:cs="Times New Roman"/>
          <w:b/>
          <w:sz w:val="28"/>
          <w:szCs w:val="28"/>
        </w:rPr>
        <w:t xml:space="preserve"> наиболее крупными являются:</w:t>
      </w:r>
    </w:p>
    <w:p w14:paraId="5D0F248A" w14:textId="77777777" w:rsidR="005152A8" w:rsidRPr="00022C12" w:rsidRDefault="005152A8" w:rsidP="005152A8">
      <w:pPr>
        <w:numPr>
          <w:ilvl w:val="0"/>
          <w:numId w:val="6"/>
        </w:numPr>
        <w:spacing w:after="0" w:line="21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Унгличиканское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золоторудное месторождение (Амурская область) – 21,5 т золота по категориям АВС</w:t>
      </w:r>
      <w:proofErr w:type="gramStart"/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F99D79" w14:textId="77777777" w:rsidR="005152A8" w:rsidRPr="00022C12" w:rsidRDefault="005152A8" w:rsidP="005152A8">
      <w:pPr>
        <w:numPr>
          <w:ilvl w:val="0"/>
          <w:numId w:val="6"/>
        </w:numPr>
        <w:spacing w:after="0" w:line="21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Юго-Западный </w:t>
      </w: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Сырадасайского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(Красноярский край) – по категориям АВС</w:t>
      </w:r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132,8 </w:t>
      </w:r>
      <w:proofErr w:type="gram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угля;</w:t>
      </w:r>
    </w:p>
    <w:p w14:paraId="0B1AEE8C" w14:textId="77777777" w:rsidR="005152A8" w:rsidRPr="00022C12" w:rsidRDefault="005152A8" w:rsidP="005152A8">
      <w:pPr>
        <w:numPr>
          <w:ilvl w:val="0"/>
          <w:numId w:val="6"/>
        </w:numPr>
        <w:spacing w:after="0" w:line="21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Герасимовский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Вознесенского месторождения (Иркутская область) – по категориям АВС</w:t>
      </w:r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98,9 </w:t>
      </w:r>
      <w:proofErr w:type="gram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угля;</w:t>
      </w:r>
    </w:p>
    <w:p w14:paraId="233E1E31" w14:textId="77777777" w:rsidR="005152A8" w:rsidRPr="00022C12" w:rsidRDefault="005152A8" w:rsidP="005152A8">
      <w:pPr>
        <w:numPr>
          <w:ilvl w:val="0"/>
          <w:numId w:val="6"/>
        </w:numPr>
        <w:spacing w:after="0" w:line="21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Тамуньерское</w:t>
      </w:r>
      <w:proofErr w:type="spell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 (Свердловская область) – по категориям АВС</w:t>
      </w:r>
      <w:proofErr w:type="gramStart"/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022C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022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11,5 т золота;</w:t>
      </w:r>
    </w:p>
    <w:p w14:paraId="21191385" w14:textId="77777777" w:rsidR="005152A8" w:rsidRPr="00022C12" w:rsidRDefault="005152A8" w:rsidP="005152A8">
      <w:pPr>
        <w:numPr>
          <w:ilvl w:val="0"/>
          <w:numId w:val="6"/>
        </w:numPr>
        <w:spacing w:after="0" w:line="21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</w:t>
      </w:r>
      <w:proofErr w:type="spellStart"/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Красноборский</w:t>
      </w:r>
      <w:proofErr w:type="spellEnd"/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участок (Калининградская область) – по категориям АВС</w:t>
      </w:r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+С</w:t>
      </w:r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64,4 </w:t>
      </w:r>
      <w:proofErr w:type="gramStart"/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млн</w:t>
      </w:r>
      <w:proofErr w:type="gramEnd"/>
      <w:r w:rsidRPr="00022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 калийных солей.</w:t>
      </w:r>
    </w:p>
    <w:p w14:paraId="456D7907" w14:textId="77777777" w:rsidR="003B3F86" w:rsidRPr="00022C12" w:rsidRDefault="003B3F86" w:rsidP="003B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6295EF" w14:textId="77777777" w:rsidR="00AA7161" w:rsidRPr="00022C12" w:rsidRDefault="00AA7161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И ПРОВЕДЕНИЕ ГОСУДАРСТВЕННОЙ ЭКСПЕРТИЗЫ ПРОЕКТНОЙ ДОКУМЕНТАЦИИ НА ГЕОЛОГИЧЕСКОЕ ИЗУЧЕНИЕ НЕДР</w:t>
      </w:r>
    </w:p>
    <w:p w14:paraId="621EF1BA" w14:textId="77777777" w:rsidR="005F0C2E" w:rsidRPr="00022C12" w:rsidRDefault="005F0C2E" w:rsidP="003B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F1F7AE" w14:textId="78E6B603" w:rsidR="002D0186" w:rsidRPr="00022C12" w:rsidRDefault="007958E7" w:rsidP="007D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Цель. </w:t>
      </w:r>
      <w:r w:rsidR="005F0C2E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Обеспечение</w:t>
      </w:r>
      <w:r w:rsidR="003507C7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рационального и комплексного изучения недр</w:t>
      </w:r>
    </w:p>
    <w:p w14:paraId="714C51C4" w14:textId="0B9E668E" w:rsidR="00633569" w:rsidRDefault="00633569" w:rsidP="0063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2018 года Федеральным государственным казенным учреждением «Росгеолэкспертиза» (включая территориальные отделения по федеральным округам) была проведена экспертиза </w:t>
      </w:r>
      <w:r w:rsidR="003D2E80">
        <w:rPr>
          <w:rFonts w:ascii="Times New Roman" w:hAnsi="Times New Roman" w:cs="Times New Roman"/>
          <w:sz w:val="28"/>
          <w:szCs w:val="28"/>
        </w:rPr>
        <w:t>4330</w:t>
      </w:r>
      <w:r>
        <w:rPr>
          <w:rFonts w:ascii="Times New Roman" w:hAnsi="Times New Roman" w:cs="Times New Roman"/>
          <w:sz w:val="28"/>
          <w:szCs w:val="28"/>
        </w:rPr>
        <w:t xml:space="preserve"> проектов на геологическое изучение недр. Положительное экспертное заключение получили </w:t>
      </w:r>
      <w:r w:rsidR="003D2E80">
        <w:rPr>
          <w:rFonts w:ascii="Times New Roman" w:hAnsi="Times New Roman" w:cs="Times New Roman"/>
          <w:sz w:val="28"/>
          <w:szCs w:val="28"/>
        </w:rPr>
        <w:t>3750</w:t>
      </w:r>
      <w:r>
        <w:rPr>
          <w:rFonts w:ascii="Times New Roman" w:hAnsi="Times New Roman" w:cs="Times New Roman"/>
          <w:sz w:val="28"/>
          <w:szCs w:val="28"/>
        </w:rPr>
        <w:t xml:space="preserve"> проекта, отрицательное </w:t>
      </w:r>
      <w:r w:rsidRPr="003D2E80">
        <w:rPr>
          <w:rFonts w:ascii="Times New Roman" w:hAnsi="Times New Roman" w:cs="Times New Roman"/>
          <w:sz w:val="28"/>
          <w:szCs w:val="28"/>
        </w:rPr>
        <w:t xml:space="preserve">– </w:t>
      </w:r>
      <w:r w:rsidR="003D2E80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1AA25" w14:textId="77777777" w:rsidR="00583DC1" w:rsidRPr="00022C12" w:rsidRDefault="00583DC1" w:rsidP="003B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1A88F53B" w14:textId="77777777" w:rsidR="007958E7" w:rsidRPr="00022C12" w:rsidRDefault="003507C7" w:rsidP="003B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СОГЛАСОВАНИЕ ТЕХНИЧЕСКИХ ПРОЕКТОВ И ИНОЙ ДОКУМЕНТАЦИИ НА ВЫПОЛНЕНИЕ РАБОТ, СВЯЗАННЫХ С ПОЛЬЗОВАНИЕМ НЕДРАМИ</w:t>
      </w:r>
    </w:p>
    <w:p w14:paraId="13349D39" w14:textId="77777777" w:rsidR="00CD0A97" w:rsidRPr="00022C12" w:rsidRDefault="00CD0A97" w:rsidP="003B3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14:paraId="26C1F88F" w14:textId="1DA92158" w:rsidR="00CD0A97" w:rsidRPr="00022C12" w:rsidRDefault="003507C7" w:rsidP="007D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Цель. </w:t>
      </w:r>
      <w:r w:rsidR="007435D8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Обеспечение </w:t>
      </w:r>
      <w:r w:rsidR="00034613" w:rsidRPr="00022C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рациональной разработки месторождений полезных ископаемых</w:t>
      </w:r>
    </w:p>
    <w:p w14:paraId="5EED19CA" w14:textId="77777777" w:rsidR="007D6FCA" w:rsidRPr="00022C12" w:rsidRDefault="007D6FCA" w:rsidP="007D6F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В 2018 году Центральными комиссиями Роснедр по согласованию технических проектов на разработку месторождений углеводородного сырья (ЦКР УВС), подземных вод, строительство и эксплуатацию подземных сооружений, не связанных с добычей полезных ископаемых (ЦКР Роснедр по МПВ и ПС) в установленном порядке было рассмотрено 742 технических проекта, в </w:t>
      </w:r>
      <w:proofErr w:type="spellStart"/>
      <w:r w:rsidRPr="00022C1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22C12">
        <w:rPr>
          <w:rFonts w:ascii="Times New Roman" w:eastAsia="Calibri" w:hAnsi="Times New Roman" w:cs="Times New Roman"/>
          <w:sz w:val="28"/>
          <w:szCs w:val="28"/>
        </w:rPr>
        <w:t>.: на разработку месторождений УВС – 723, на разработку месторождений ПВ – 10, на подземные сооружения</w:t>
      </w:r>
      <w:proofErr w:type="gramEnd"/>
      <w:r w:rsidRPr="00022C12">
        <w:rPr>
          <w:rFonts w:ascii="Times New Roman" w:eastAsia="Calibri" w:hAnsi="Times New Roman" w:cs="Times New Roman"/>
          <w:sz w:val="28"/>
          <w:szCs w:val="28"/>
        </w:rPr>
        <w:t xml:space="preserve"> – 9.</w:t>
      </w:r>
    </w:p>
    <w:p w14:paraId="49034634" w14:textId="77777777" w:rsidR="007D6FCA" w:rsidRPr="007D6FCA" w:rsidRDefault="007D6FCA" w:rsidP="007D6F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12">
        <w:rPr>
          <w:rFonts w:ascii="Times New Roman" w:eastAsia="Calibri" w:hAnsi="Times New Roman" w:cs="Times New Roman"/>
          <w:sz w:val="28"/>
          <w:szCs w:val="28"/>
        </w:rPr>
        <w:tab/>
        <w:t>В части ТПИ Центральной комиссией Роснедр по согласованию технических проектов на разработку месторождений твердых полезных ископаемых (ЦКР ТПИ) в установленном порядке было рассмотрено 411 технических проектов на разработку месторождений.</w:t>
      </w:r>
    </w:p>
    <w:p w14:paraId="2CD6CCFC" w14:textId="77777777" w:rsidR="0013610D" w:rsidRDefault="0013610D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sectPr w:rsidR="0013610D" w:rsidSect="001C50C6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BB288" w15:done="0"/>
  <w15:commentEx w15:paraId="7E5CFD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FE34" w14:textId="77777777" w:rsidR="00761CD6" w:rsidRDefault="00761CD6" w:rsidP="001C50C6">
      <w:pPr>
        <w:spacing w:after="0" w:line="240" w:lineRule="auto"/>
      </w:pPr>
      <w:r>
        <w:separator/>
      </w:r>
    </w:p>
  </w:endnote>
  <w:endnote w:type="continuationSeparator" w:id="0">
    <w:p w14:paraId="470DEC6B" w14:textId="77777777" w:rsidR="00761CD6" w:rsidRDefault="00761CD6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ED6F" w14:textId="77777777" w:rsidR="00761CD6" w:rsidRDefault="00761CD6" w:rsidP="001C50C6">
      <w:pPr>
        <w:spacing w:after="0" w:line="240" w:lineRule="auto"/>
      </w:pPr>
      <w:r>
        <w:separator/>
      </w:r>
    </w:p>
  </w:footnote>
  <w:footnote w:type="continuationSeparator" w:id="0">
    <w:p w14:paraId="3633817B" w14:textId="77777777" w:rsidR="00761CD6" w:rsidRDefault="00761CD6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4291"/>
      <w:docPartObj>
        <w:docPartGallery w:val="Page Numbers (Top of Page)"/>
        <w:docPartUnique/>
      </w:docPartObj>
    </w:sdtPr>
    <w:sdtEndPr/>
    <w:sdtContent>
      <w:p w14:paraId="1BC2154E" w14:textId="77777777"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F0">
          <w:rPr>
            <w:noProof/>
          </w:rPr>
          <w:t>2</w:t>
        </w:r>
        <w:r>
          <w:fldChar w:fldCharType="end"/>
        </w:r>
      </w:p>
    </w:sdtContent>
  </w:sdt>
  <w:p w14:paraId="7FB80EB3" w14:textId="77777777" w:rsidR="001C50C6" w:rsidRDefault="001C50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00B92"/>
    <w:multiLevelType w:val="hybridMultilevel"/>
    <w:tmpl w:val="1658A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617A2"/>
    <w:multiLevelType w:val="hybridMultilevel"/>
    <w:tmpl w:val="30E2D60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42F46B3"/>
    <w:multiLevelType w:val="hybridMultilevel"/>
    <w:tmpl w:val="0A861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D46E77"/>
    <w:multiLevelType w:val="hybridMultilevel"/>
    <w:tmpl w:val="FD6EF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9340D"/>
    <w:multiLevelType w:val="hybridMultilevel"/>
    <w:tmpl w:val="1A2E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олярова Юлия Александровна">
    <w15:presenceInfo w15:providerId="AD" w15:userId="S-1-5-21-2909657307-2373677252-2162692372-14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C"/>
    <w:rsid w:val="00007E22"/>
    <w:rsid w:val="00022C12"/>
    <w:rsid w:val="00026B08"/>
    <w:rsid w:val="000273F0"/>
    <w:rsid w:val="00033DF3"/>
    <w:rsid w:val="00034613"/>
    <w:rsid w:val="00042706"/>
    <w:rsid w:val="00042DBF"/>
    <w:rsid w:val="000445CF"/>
    <w:rsid w:val="00050EA4"/>
    <w:rsid w:val="00051092"/>
    <w:rsid w:val="000577A5"/>
    <w:rsid w:val="000676E5"/>
    <w:rsid w:val="00090DFA"/>
    <w:rsid w:val="000B2CEB"/>
    <w:rsid w:val="000C5B48"/>
    <w:rsid w:val="000F6B42"/>
    <w:rsid w:val="001024C6"/>
    <w:rsid w:val="00110160"/>
    <w:rsid w:val="0011186F"/>
    <w:rsid w:val="00125DB6"/>
    <w:rsid w:val="00127928"/>
    <w:rsid w:val="0013067A"/>
    <w:rsid w:val="0013531D"/>
    <w:rsid w:val="0013610D"/>
    <w:rsid w:val="0014199D"/>
    <w:rsid w:val="001476AE"/>
    <w:rsid w:val="00176148"/>
    <w:rsid w:val="00187278"/>
    <w:rsid w:val="001A3691"/>
    <w:rsid w:val="001A7156"/>
    <w:rsid w:val="001B77CE"/>
    <w:rsid w:val="001C00D0"/>
    <w:rsid w:val="001C50C6"/>
    <w:rsid w:val="001C6F16"/>
    <w:rsid w:val="001E1732"/>
    <w:rsid w:val="001E1CB7"/>
    <w:rsid w:val="001E211D"/>
    <w:rsid w:val="001E3F98"/>
    <w:rsid w:val="001F1239"/>
    <w:rsid w:val="00217BCD"/>
    <w:rsid w:val="002248F3"/>
    <w:rsid w:val="00226FF6"/>
    <w:rsid w:val="0024260F"/>
    <w:rsid w:val="00261F60"/>
    <w:rsid w:val="002B065F"/>
    <w:rsid w:val="002B38A6"/>
    <w:rsid w:val="002C7FAF"/>
    <w:rsid w:val="002D0186"/>
    <w:rsid w:val="002D7B11"/>
    <w:rsid w:val="002E4F77"/>
    <w:rsid w:val="002E6EE7"/>
    <w:rsid w:val="002F520E"/>
    <w:rsid w:val="002F5DBF"/>
    <w:rsid w:val="00310AEB"/>
    <w:rsid w:val="003251CD"/>
    <w:rsid w:val="0032636C"/>
    <w:rsid w:val="00340D1D"/>
    <w:rsid w:val="00343C79"/>
    <w:rsid w:val="003507C7"/>
    <w:rsid w:val="00355C56"/>
    <w:rsid w:val="00355C88"/>
    <w:rsid w:val="00365290"/>
    <w:rsid w:val="0039702C"/>
    <w:rsid w:val="003A35A2"/>
    <w:rsid w:val="003A3E2E"/>
    <w:rsid w:val="003A47AF"/>
    <w:rsid w:val="003A5697"/>
    <w:rsid w:val="003B3F86"/>
    <w:rsid w:val="003B6069"/>
    <w:rsid w:val="003C4B49"/>
    <w:rsid w:val="003C4C7A"/>
    <w:rsid w:val="003D2E80"/>
    <w:rsid w:val="003D4435"/>
    <w:rsid w:val="003E3020"/>
    <w:rsid w:val="003F2057"/>
    <w:rsid w:val="004211A1"/>
    <w:rsid w:val="00454EF6"/>
    <w:rsid w:val="0045677C"/>
    <w:rsid w:val="00466EB0"/>
    <w:rsid w:val="0047059B"/>
    <w:rsid w:val="0048008E"/>
    <w:rsid w:val="004B6808"/>
    <w:rsid w:val="004C445B"/>
    <w:rsid w:val="004C7C80"/>
    <w:rsid w:val="004D7D98"/>
    <w:rsid w:val="004F3863"/>
    <w:rsid w:val="00502E76"/>
    <w:rsid w:val="00504B9E"/>
    <w:rsid w:val="005057B2"/>
    <w:rsid w:val="005152A8"/>
    <w:rsid w:val="00520BB4"/>
    <w:rsid w:val="00525E1B"/>
    <w:rsid w:val="00534724"/>
    <w:rsid w:val="005452E6"/>
    <w:rsid w:val="00547471"/>
    <w:rsid w:val="00557776"/>
    <w:rsid w:val="005723E2"/>
    <w:rsid w:val="00583DC1"/>
    <w:rsid w:val="005B6286"/>
    <w:rsid w:val="005B6ABA"/>
    <w:rsid w:val="005C5350"/>
    <w:rsid w:val="005C67D2"/>
    <w:rsid w:val="005D4400"/>
    <w:rsid w:val="005D4AE4"/>
    <w:rsid w:val="005E439D"/>
    <w:rsid w:val="005F0C2E"/>
    <w:rsid w:val="005F53BB"/>
    <w:rsid w:val="005F7FDA"/>
    <w:rsid w:val="00617A81"/>
    <w:rsid w:val="0062003C"/>
    <w:rsid w:val="00633569"/>
    <w:rsid w:val="0063672F"/>
    <w:rsid w:val="006519EA"/>
    <w:rsid w:val="00653337"/>
    <w:rsid w:val="00654091"/>
    <w:rsid w:val="00657443"/>
    <w:rsid w:val="00675CC8"/>
    <w:rsid w:val="0067731C"/>
    <w:rsid w:val="006A5CA1"/>
    <w:rsid w:val="006A7794"/>
    <w:rsid w:val="006C0764"/>
    <w:rsid w:val="006C24DF"/>
    <w:rsid w:val="006C3ACE"/>
    <w:rsid w:val="006C697D"/>
    <w:rsid w:val="006D6E95"/>
    <w:rsid w:val="006E33F9"/>
    <w:rsid w:val="0070442D"/>
    <w:rsid w:val="007149E0"/>
    <w:rsid w:val="00720C77"/>
    <w:rsid w:val="007435D8"/>
    <w:rsid w:val="00746873"/>
    <w:rsid w:val="007608F7"/>
    <w:rsid w:val="00760D60"/>
    <w:rsid w:val="00761CD6"/>
    <w:rsid w:val="00763A7A"/>
    <w:rsid w:val="007958E7"/>
    <w:rsid w:val="007A3042"/>
    <w:rsid w:val="007A7EF7"/>
    <w:rsid w:val="007B0716"/>
    <w:rsid w:val="007B7E86"/>
    <w:rsid w:val="007D6FCA"/>
    <w:rsid w:val="007E4C9E"/>
    <w:rsid w:val="00802CCF"/>
    <w:rsid w:val="008101B0"/>
    <w:rsid w:val="008123FC"/>
    <w:rsid w:val="00830265"/>
    <w:rsid w:val="008341C4"/>
    <w:rsid w:val="00845611"/>
    <w:rsid w:val="00870399"/>
    <w:rsid w:val="0089381C"/>
    <w:rsid w:val="008A2E7F"/>
    <w:rsid w:val="008B15DD"/>
    <w:rsid w:val="008C7A2E"/>
    <w:rsid w:val="008D72C7"/>
    <w:rsid w:val="008F0A39"/>
    <w:rsid w:val="009237AB"/>
    <w:rsid w:val="00923C5F"/>
    <w:rsid w:val="00947630"/>
    <w:rsid w:val="00957524"/>
    <w:rsid w:val="009578BC"/>
    <w:rsid w:val="00973A9F"/>
    <w:rsid w:val="00986D4C"/>
    <w:rsid w:val="00987BBF"/>
    <w:rsid w:val="009A1CC4"/>
    <w:rsid w:val="009B487F"/>
    <w:rsid w:val="009C030F"/>
    <w:rsid w:val="009C6742"/>
    <w:rsid w:val="009D303D"/>
    <w:rsid w:val="009D5761"/>
    <w:rsid w:val="009E2D4F"/>
    <w:rsid w:val="00A05320"/>
    <w:rsid w:val="00A14718"/>
    <w:rsid w:val="00A14CDF"/>
    <w:rsid w:val="00A21CEE"/>
    <w:rsid w:val="00A25F96"/>
    <w:rsid w:val="00A32C7C"/>
    <w:rsid w:val="00A35FEF"/>
    <w:rsid w:val="00A36155"/>
    <w:rsid w:val="00A40023"/>
    <w:rsid w:val="00A441BD"/>
    <w:rsid w:val="00A47D7E"/>
    <w:rsid w:val="00A52EE4"/>
    <w:rsid w:val="00A55E81"/>
    <w:rsid w:val="00A56893"/>
    <w:rsid w:val="00A614CB"/>
    <w:rsid w:val="00A76FF2"/>
    <w:rsid w:val="00A8177D"/>
    <w:rsid w:val="00A81CD5"/>
    <w:rsid w:val="00AA7161"/>
    <w:rsid w:val="00AC20A3"/>
    <w:rsid w:val="00AD219B"/>
    <w:rsid w:val="00AD79B1"/>
    <w:rsid w:val="00AF4909"/>
    <w:rsid w:val="00B04FAD"/>
    <w:rsid w:val="00B175E1"/>
    <w:rsid w:val="00B307CB"/>
    <w:rsid w:val="00B325B8"/>
    <w:rsid w:val="00B35773"/>
    <w:rsid w:val="00B37526"/>
    <w:rsid w:val="00B47875"/>
    <w:rsid w:val="00B64755"/>
    <w:rsid w:val="00B71682"/>
    <w:rsid w:val="00B73D8C"/>
    <w:rsid w:val="00B923AD"/>
    <w:rsid w:val="00BA4751"/>
    <w:rsid w:val="00BB267D"/>
    <w:rsid w:val="00BB707B"/>
    <w:rsid w:val="00BC1858"/>
    <w:rsid w:val="00BD0B76"/>
    <w:rsid w:val="00BE5D0E"/>
    <w:rsid w:val="00BF5BCC"/>
    <w:rsid w:val="00C007E1"/>
    <w:rsid w:val="00C06DCD"/>
    <w:rsid w:val="00C11AAC"/>
    <w:rsid w:val="00C27072"/>
    <w:rsid w:val="00C274FE"/>
    <w:rsid w:val="00C32429"/>
    <w:rsid w:val="00C41785"/>
    <w:rsid w:val="00C42D9E"/>
    <w:rsid w:val="00C42DD9"/>
    <w:rsid w:val="00C9203F"/>
    <w:rsid w:val="00C97281"/>
    <w:rsid w:val="00CB0570"/>
    <w:rsid w:val="00CC17BE"/>
    <w:rsid w:val="00CD0A97"/>
    <w:rsid w:val="00CD21B4"/>
    <w:rsid w:val="00CD7AED"/>
    <w:rsid w:val="00CE2582"/>
    <w:rsid w:val="00D07B47"/>
    <w:rsid w:val="00D14949"/>
    <w:rsid w:val="00D17A36"/>
    <w:rsid w:val="00D23BA7"/>
    <w:rsid w:val="00D251BB"/>
    <w:rsid w:val="00D26078"/>
    <w:rsid w:val="00D47E72"/>
    <w:rsid w:val="00D6626E"/>
    <w:rsid w:val="00D9258E"/>
    <w:rsid w:val="00DB6C8C"/>
    <w:rsid w:val="00DC4A5F"/>
    <w:rsid w:val="00E00E36"/>
    <w:rsid w:val="00E05989"/>
    <w:rsid w:val="00E110D9"/>
    <w:rsid w:val="00E218D9"/>
    <w:rsid w:val="00E35356"/>
    <w:rsid w:val="00E367F1"/>
    <w:rsid w:val="00E47927"/>
    <w:rsid w:val="00EA685E"/>
    <w:rsid w:val="00EB7B3B"/>
    <w:rsid w:val="00EC18ED"/>
    <w:rsid w:val="00ED04AD"/>
    <w:rsid w:val="00EF7A5C"/>
    <w:rsid w:val="00F1350A"/>
    <w:rsid w:val="00F16B0D"/>
    <w:rsid w:val="00F416AB"/>
    <w:rsid w:val="00F6208D"/>
    <w:rsid w:val="00F63DB2"/>
    <w:rsid w:val="00F70584"/>
    <w:rsid w:val="00F71169"/>
    <w:rsid w:val="00F7174B"/>
    <w:rsid w:val="00F71F80"/>
    <w:rsid w:val="00F939D7"/>
    <w:rsid w:val="00F93B33"/>
    <w:rsid w:val="00F9656E"/>
    <w:rsid w:val="00F978DC"/>
    <w:rsid w:val="00FA58C0"/>
    <w:rsid w:val="00FB2DC5"/>
    <w:rsid w:val="00FB7B1B"/>
    <w:rsid w:val="00FE355D"/>
    <w:rsid w:val="00FE455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character" w:styleId="ad">
    <w:name w:val="annotation reference"/>
    <w:basedOn w:val="a0"/>
    <w:uiPriority w:val="99"/>
    <w:semiHidden/>
    <w:unhideWhenUsed/>
    <w:rsid w:val="00BC18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18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18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18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1858"/>
    <w:rPr>
      <w:b/>
      <w:bCs/>
      <w:sz w:val="20"/>
      <w:szCs w:val="20"/>
    </w:rPr>
  </w:style>
  <w:style w:type="paragraph" w:customStyle="1" w:styleId="Default">
    <w:name w:val="Default"/>
    <w:rsid w:val="0067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1419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14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character" w:styleId="ad">
    <w:name w:val="annotation reference"/>
    <w:basedOn w:val="a0"/>
    <w:uiPriority w:val="99"/>
    <w:semiHidden/>
    <w:unhideWhenUsed/>
    <w:rsid w:val="00BC18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18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18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18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1858"/>
    <w:rPr>
      <w:b/>
      <w:bCs/>
      <w:sz w:val="20"/>
      <w:szCs w:val="20"/>
    </w:rPr>
  </w:style>
  <w:style w:type="paragraph" w:customStyle="1" w:styleId="Default">
    <w:name w:val="Default"/>
    <w:rsid w:val="0067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1419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14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AAD8-58D3-4DE6-9D52-4091F752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Цой Виталий Анатольевич</cp:lastModifiedBy>
  <cp:revision>15</cp:revision>
  <cp:lastPrinted>2018-07-31T13:23:00Z</cp:lastPrinted>
  <dcterms:created xsi:type="dcterms:W3CDTF">2019-02-25T12:16:00Z</dcterms:created>
  <dcterms:modified xsi:type="dcterms:W3CDTF">2019-07-02T08:23:00Z</dcterms:modified>
</cp:coreProperties>
</file>