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C6" w:rsidRPr="0040253A" w:rsidRDefault="00FD5C00" w:rsidP="003A28F5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40253A">
        <w:rPr>
          <w:b/>
          <w:sz w:val="28"/>
          <w:szCs w:val="28"/>
        </w:rPr>
        <w:t>Предварительные и</w:t>
      </w:r>
      <w:r w:rsidR="006B5BC6" w:rsidRPr="0040253A">
        <w:rPr>
          <w:b/>
          <w:sz w:val="28"/>
          <w:szCs w:val="28"/>
        </w:rPr>
        <w:t xml:space="preserve">тоги геологоразведочных </w:t>
      </w:r>
      <w:r w:rsidR="00653A8A" w:rsidRPr="0040253A">
        <w:rPr>
          <w:b/>
          <w:sz w:val="28"/>
          <w:szCs w:val="28"/>
        </w:rPr>
        <w:t>р</w:t>
      </w:r>
      <w:r w:rsidR="003A5EC6" w:rsidRPr="0040253A">
        <w:rPr>
          <w:b/>
          <w:sz w:val="28"/>
          <w:szCs w:val="28"/>
        </w:rPr>
        <w:t xml:space="preserve">абот на </w:t>
      </w:r>
      <w:r w:rsidR="006B5BC6" w:rsidRPr="0040253A">
        <w:rPr>
          <w:b/>
          <w:sz w:val="28"/>
          <w:szCs w:val="28"/>
        </w:rPr>
        <w:t>углеводородное сырье</w:t>
      </w:r>
      <w:r w:rsidR="003A5EC6" w:rsidRPr="0040253A">
        <w:rPr>
          <w:b/>
          <w:sz w:val="28"/>
          <w:szCs w:val="28"/>
        </w:rPr>
        <w:t xml:space="preserve"> в 201</w:t>
      </w:r>
      <w:r w:rsidR="006B5BC6" w:rsidRPr="0040253A">
        <w:rPr>
          <w:b/>
          <w:sz w:val="28"/>
          <w:szCs w:val="28"/>
        </w:rPr>
        <w:t>7</w:t>
      </w:r>
      <w:r w:rsidR="003A5EC6" w:rsidRPr="0040253A">
        <w:rPr>
          <w:b/>
          <w:sz w:val="28"/>
          <w:szCs w:val="28"/>
        </w:rPr>
        <w:t xml:space="preserve"> г. и задачи на 201</w:t>
      </w:r>
      <w:r w:rsidR="006B5BC6" w:rsidRPr="0040253A">
        <w:rPr>
          <w:b/>
          <w:sz w:val="28"/>
          <w:szCs w:val="28"/>
        </w:rPr>
        <w:t>8</w:t>
      </w:r>
      <w:r w:rsidR="003A5EC6" w:rsidRPr="0040253A">
        <w:rPr>
          <w:b/>
          <w:sz w:val="28"/>
          <w:szCs w:val="28"/>
        </w:rPr>
        <w:t xml:space="preserve"> г.</w:t>
      </w:r>
    </w:p>
    <w:p w:rsidR="00D809B7" w:rsidRPr="0040253A" w:rsidRDefault="00D809B7" w:rsidP="00D809B7">
      <w:pPr>
        <w:spacing w:after="0" w:line="360" w:lineRule="auto"/>
        <w:ind w:firstLine="567"/>
        <w:jc w:val="both"/>
        <w:rPr>
          <w:sz w:val="26"/>
          <w:szCs w:val="26"/>
        </w:rPr>
      </w:pPr>
    </w:p>
    <w:p w:rsidR="00662869" w:rsidRPr="0040253A" w:rsidRDefault="00662869" w:rsidP="00662869">
      <w:pPr>
        <w:spacing w:after="0" w:line="360" w:lineRule="auto"/>
        <w:ind w:hanging="1134"/>
        <w:jc w:val="both"/>
        <w:rPr>
          <w:b/>
        </w:rPr>
      </w:pPr>
      <w:r w:rsidRPr="0040253A">
        <w:rPr>
          <w:b/>
        </w:rPr>
        <w:t xml:space="preserve">Слайд №1 </w:t>
      </w:r>
      <w:r w:rsidR="00CF36F7" w:rsidRPr="0040253A">
        <w:rPr>
          <w:b/>
        </w:rPr>
        <w:t>–</w:t>
      </w:r>
      <w:r w:rsidRPr="0040253A">
        <w:rPr>
          <w:b/>
        </w:rPr>
        <w:t xml:space="preserve"> Название доклада.</w:t>
      </w:r>
    </w:p>
    <w:p w:rsidR="00D809B7" w:rsidRPr="0040253A" w:rsidRDefault="00D809B7" w:rsidP="00D809B7">
      <w:pPr>
        <w:spacing w:after="0" w:line="360" w:lineRule="auto"/>
        <w:ind w:firstLine="567"/>
        <w:jc w:val="both"/>
      </w:pPr>
      <w:r w:rsidRPr="0040253A">
        <w:t xml:space="preserve">Геологоразведочные работы (ГРР) на нефть и газ на территории России ведутся </w:t>
      </w:r>
      <w:r w:rsidR="006B5BC6" w:rsidRPr="0040253A">
        <w:t xml:space="preserve">в настоящее время </w:t>
      </w:r>
      <w:r w:rsidRPr="0040253A">
        <w:t xml:space="preserve">в пределах всех федеральных округов (ФО), </w:t>
      </w:r>
      <w:r w:rsidR="006B5BC6" w:rsidRPr="0040253A">
        <w:t xml:space="preserve">исключая Центральный ФО и </w:t>
      </w:r>
      <w:r w:rsidRPr="0040253A">
        <w:t xml:space="preserve">охватывая все нефтегазоносные провинции (НГП) и ее континентальный шельф. </w:t>
      </w:r>
      <w:r w:rsidR="005C1243" w:rsidRPr="0040253A">
        <w:t>П</w:t>
      </w:r>
      <w:r w:rsidRPr="0040253A">
        <w:t>одавляющая часть ГРР на нефть и газ (93–9</w:t>
      </w:r>
      <w:r w:rsidR="006B5BC6" w:rsidRPr="0040253A">
        <w:t>6</w:t>
      </w:r>
      <w:r w:rsidRPr="0040253A">
        <w:t>%) реализуется в России за счет собственных средств недропользователей, проводящих работы в пределах лицензионных участков. Остальные объемы ГРР на нефть и газ финансируются федеральным бюджетом и в незначительной степени  бюджетами субъектов РФ.</w:t>
      </w:r>
    </w:p>
    <w:p w:rsidR="00662869" w:rsidRPr="0040253A" w:rsidRDefault="00662869" w:rsidP="00662869">
      <w:pPr>
        <w:spacing w:after="0" w:line="360" w:lineRule="auto"/>
        <w:ind w:hanging="1134"/>
        <w:jc w:val="both"/>
        <w:rPr>
          <w:b/>
        </w:rPr>
      </w:pPr>
      <w:r w:rsidRPr="0040253A">
        <w:rPr>
          <w:b/>
        </w:rPr>
        <w:t xml:space="preserve">Слайд №2 </w:t>
      </w:r>
      <w:r w:rsidR="00CF36F7" w:rsidRPr="0040253A">
        <w:rPr>
          <w:b/>
        </w:rPr>
        <w:t xml:space="preserve">– </w:t>
      </w:r>
      <w:r w:rsidRPr="0040253A">
        <w:rPr>
          <w:b/>
        </w:rPr>
        <w:t xml:space="preserve">Затраты </w:t>
      </w:r>
      <w:r w:rsidR="009936E4" w:rsidRPr="0040253A">
        <w:rPr>
          <w:b/>
        </w:rPr>
        <w:t>на ГРР</w:t>
      </w:r>
      <w:r w:rsidRPr="0040253A">
        <w:rPr>
          <w:b/>
        </w:rPr>
        <w:t>.</w:t>
      </w:r>
    </w:p>
    <w:p w:rsidR="00662869" w:rsidRPr="0040253A" w:rsidRDefault="00D809B7" w:rsidP="00662869">
      <w:pPr>
        <w:spacing w:after="0" w:line="360" w:lineRule="auto"/>
        <w:ind w:firstLine="567"/>
        <w:jc w:val="both"/>
      </w:pPr>
      <w:r w:rsidRPr="0040253A">
        <w:t>В период 2004–2016 гг. затраты недропользователей на проведение ГРР на нефть и газ в стране в целом возрастали с 48 млрд. руб. в 2004 г. до 309 млрд. руб. в 2014 г.</w:t>
      </w:r>
      <w:r w:rsidR="006B5BC6" w:rsidRPr="0040253A">
        <w:t>, за исключением кризисного 2009 г. и</w:t>
      </w:r>
      <w:r w:rsidRPr="0040253A">
        <w:t xml:space="preserve"> последующи</w:t>
      </w:r>
      <w:r w:rsidR="006B5BC6" w:rsidRPr="0040253A">
        <w:t>х 2010–2011 гг., а также</w:t>
      </w:r>
      <w:r w:rsidRPr="0040253A">
        <w:t xml:space="preserve"> кризисны</w:t>
      </w:r>
      <w:r w:rsidR="006B5BC6" w:rsidRPr="0040253A">
        <w:t>х 2015–2016 гг.</w:t>
      </w:r>
      <w:r w:rsidRPr="0040253A">
        <w:t xml:space="preserve"> </w:t>
      </w:r>
      <w:r w:rsidR="006B5BC6" w:rsidRPr="0040253A">
        <w:t>с за</w:t>
      </w:r>
      <w:r w:rsidR="00653A8A" w:rsidRPr="0040253A">
        <w:t>трат</w:t>
      </w:r>
      <w:r w:rsidR="006B5BC6" w:rsidRPr="0040253A">
        <w:t>ами</w:t>
      </w:r>
      <w:r w:rsidR="00653A8A" w:rsidRPr="0040253A">
        <w:t xml:space="preserve"> на ГРР </w:t>
      </w:r>
      <w:r w:rsidR="006B5BC6" w:rsidRPr="0040253A">
        <w:t>в объеме</w:t>
      </w:r>
      <w:r w:rsidR="00653A8A" w:rsidRPr="0040253A">
        <w:t xml:space="preserve"> 2</w:t>
      </w:r>
      <w:r w:rsidR="006B5BC6" w:rsidRPr="0040253A">
        <w:t>51 и 252</w:t>
      </w:r>
      <w:r w:rsidR="00653A8A" w:rsidRPr="0040253A">
        <w:t xml:space="preserve"> млрд. руб. </w:t>
      </w:r>
      <w:r w:rsidR="00C36E4F" w:rsidRPr="0040253A">
        <w:t>На 2017 г недропользователями запланировано резкое возрастание затрат на ГРР – 361 млрд. руб. При этом, по их данным, за 9 месяцев текущего года затраты на ГРР составили 2</w:t>
      </w:r>
      <w:r w:rsidR="00DB4E80" w:rsidRPr="0040253A">
        <w:t>5</w:t>
      </w:r>
      <w:r w:rsidR="00C36E4F" w:rsidRPr="0040253A">
        <w:t>3 млрд. руб.</w:t>
      </w:r>
      <w:r w:rsidR="006B5BC6" w:rsidRPr="0040253A">
        <w:t xml:space="preserve"> </w:t>
      </w:r>
      <w:r w:rsidR="00C36E4F" w:rsidRPr="0040253A">
        <w:t>З</w:t>
      </w:r>
      <w:r w:rsidR="006B5BC6" w:rsidRPr="0040253A">
        <w:t>атраты федерального бюджета непрерывно нарастали с 3,3 млрд. руб. в 2004 до 16,3 млрд. руб. в 2014 г и только</w:t>
      </w:r>
      <w:r w:rsidR="009936E4" w:rsidRPr="0040253A">
        <w:t xml:space="preserve"> последние 3 года снижаются</w:t>
      </w:r>
      <w:r w:rsidR="009D7F40" w:rsidRPr="0040253A">
        <w:t xml:space="preserve"> (до 11,5-12 млрд. руб</w:t>
      </w:r>
      <w:r w:rsidR="00C36E4F" w:rsidRPr="0040253A">
        <w:t>.</w:t>
      </w:r>
      <w:r w:rsidR="009D7F40" w:rsidRPr="0040253A">
        <w:t>)</w:t>
      </w:r>
      <w:r w:rsidR="009936E4" w:rsidRPr="0040253A">
        <w:t>.</w:t>
      </w:r>
    </w:p>
    <w:p w:rsidR="00662869" w:rsidRPr="0040253A" w:rsidRDefault="00662869" w:rsidP="00662869">
      <w:pPr>
        <w:spacing w:after="0" w:line="360" w:lineRule="auto"/>
        <w:ind w:hanging="1134"/>
        <w:jc w:val="both"/>
        <w:rPr>
          <w:b/>
        </w:rPr>
      </w:pPr>
      <w:r w:rsidRPr="0040253A">
        <w:rPr>
          <w:b/>
        </w:rPr>
        <w:t xml:space="preserve">Слайд №3 </w:t>
      </w:r>
      <w:r w:rsidR="00CF36F7" w:rsidRPr="0040253A">
        <w:rPr>
          <w:b/>
        </w:rPr>
        <w:t>–</w:t>
      </w:r>
      <w:r w:rsidRPr="0040253A">
        <w:rPr>
          <w:b/>
        </w:rPr>
        <w:t xml:space="preserve"> Объемы </w:t>
      </w:r>
      <w:r w:rsidR="009936E4" w:rsidRPr="0040253A">
        <w:rPr>
          <w:b/>
        </w:rPr>
        <w:t xml:space="preserve">поисково-разведочного </w:t>
      </w:r>
      <w:r w:rsidRPr="0040253A">
        <w:rPr>
          <w:b/>
        </w:rPr>
        <w:t>бурения.</w:t>
      </w:r>
    </w:p>
    <w:p w:rsidR="009936E4" w:rsidRPr="0040253A" w:rsidRDefault="009936E4" w:rsidP="009936E4">
      <w:pPr>
        <w:spacing w:after="0" w:line="360" w:lineRule="auto"/>
        <w:ind w:firstLine="567"/>
        <w:jc w:val="both"/>
      </w:pPr>
      <w:r w:rsidRPr="0040253A">
        <w:t>Более половины затрат</w:t>
      </w:r>
      <w:r w:rsidR="005C1243" w:rsidRPr="0040253A">
        <w:t xml:space="preserve"> недропользователей</w:t>
      </w:r>
      <w:r w:rsidRPr="0040253A">
        <w:t xml:space="preserve"> (как правило, более 60%) приходится обычно на поисково-разведочное бурение. В 2016 г. на поисково-разведочное бурение было израсходовано около 151 млрд. руб. (60% общих затрат). </w:t>
      </w:r>
      <w:r w:rsidR="00C36E4F" w:rsidRPr="0040253A">
        <w:t xml:space="preserve">За 9 месяцев 2017 г. затраты недропользователей на поисково-разведочное бурение составили 195 млрд. руб. </w:t>
      </w:r>
      <w:r w:rsidRPr="0040253A">
        <w:t>Ежегодные объемы буровых работ в период 2004–2016 гг., как правило, превышали 1 млн. м. Максимум объема поисково-разведочного бурения был достигнут в 2008 г. (1 547 тыс. м) и минимум – в кризисном 2009 г. (853 тыс. м). В 201</w:t>
      </w:r>
      <w:r w:rsidR="005C1243" w:rsidRPr="0040253A">
        <w:t>6</w:t>
      </w:r>
      <w:r w:rsidRPr="0040253A">
        <w:t xml:space="preserve"> г. объем поисково-разведочного бурения составил 1 137 тыс. м, а на 2017 г. запланированный объем бурения составил 1 387 тыс. м</w:t>
      </w:r>
      <w:r w:rsidR="00C36E4F" w:rsidRPr="0040253A">
        <w:t>. За 9 месяцев объем глубокого бурения, выполненного недропользователями достиг 963 тыс. м.</w:t>
      </w:r>
    </w:p>
    <w:p w:rsidR="00CD5AB2" w:rsidRPr="0040253A" w:rsidRDefault="00CD5AB2" w:rsidP="00CD5AB2">
      <w:pPr>
        <w:spacing w:after="0" w:line="360" w:lineRule="auto"/>
        <w:ind w:hanging="1134"/>
        <w:jc w:val="both"/>
        <w:rPr>
          <w:b/>
        </w:rPr>
      </w:pPr>
      <w:r w:rsidRPr="0040253A">
        <w:rPr>
          <w:b/>
        </w:rPr>
        <w:t>Слайд №4 – Объемы сейсморазведки 2</w:t>
      </w:r>
      <w:r w:rsidRPr="0040253A">
        <w:rPr>
          <w:b/>
          <w:lang w:val="en-US"/>
        </w:rPr>
        <w:t>D</w:t>
      </w:r>
      <w:r w:rsidRPr="0040253A">
        <w:rPr>
          <w:b/>
        </w:rPr>
        <w:t xml:space="preserve"> и 3</w:t>
      </w:r>
      <w:r w:rsidRPr="0040253A">
        <w:rPr>
          <w:b/>
          <w:lang w:val="en-US"/>
        </w:rPr>
        <w:t>D</w:t>
      </w:r>
      <w:r w:rsidRPr="0040253A">
        <w:rPr>
          <w:b/>
        </w:rPr>
        <w:t>.</w:t>
      </w:r>
    </w:p>
    <w:p w:rsidR="00ED5830" w:rsidRPr="0040253A" w:rsidRDefault="00ED5830" w:rsidP="00ED5830">
      <w:pPr>
        <w:spacing w:after="0" w:line="360" w:lineRule="auto"/>
        <w:ind w:firstLine="567"/>
        <w:jc w:val="both"/>
      </w:pPr>
      <w:r w:rsidRPr="0040253A">
        <w:t>Динамика объемов сейсмических исследований МОГТ 2</w:t>
      </w:r>
      <w:r w:rsidRPr="0040253A">
        <w:rPr>
          <w:lang w:val="en-US"/>
        </w:rPr>
        <w:t>D</w:t>
      </w:r>
      <w:r w:rsidRPr="0040253A">
        <w:t xml:space="preserve">, проводимых недропользователями, характеризуется их возрастанием с 91 тыс. пог. км до 109 тыс. пог. км в период 2004–2007 гг. с последующей тенденцией их резкого снижения в период 2008–2011 гг. до 42 тыс. пог. км и роста в 2012–2014 гг. до 71 тыс. пог. км с последующим </w:t>
      </w:r>
      <w:r w:rsidRPr="0040253A">
        <w:lastRenderedPageBreak/>
        <w:t xml:space="preserve">снижением в 2016 г. до 53 тыс. пог. км и планируемым на 2017 г. объемом 74 тыс. пог. км. </w:t>
      </w:r>
      <w:r w:rsidR="00C36E4F" w:rsidRPr="0040253A">
        <w:t>За 9 месяцев 2017 г. объем отработанных сейсмопрофилей 2</w:t>
      </w:r>
      <w:r w:rsidR="00C36E4F" w:rsidRPr="0040253A">
        <w:rPr>
          <w:lang w:val="en-US"/>
        </w:rPr>
        <w:t>D</w:t>
      </w:r>
      <w:r w:rsidR="00C36E4F" w:rsidRPr="0040253A">
        <w:t xml:space="preserve"> составил 47,5 тыс. пог. км. </w:t>
      </w:r>
      <w:r w:rsidRPr="0040253A">
        <w:t>Гораздо более плавной тенденцией характеризуется изменение во времени объемов сейсморазведки МОГТ 3</w:t>
      </w:r>
      <w:r w:rsidRPr="0040253A">
        <w:rPr>
          <w:lang w:val="en-US"/>
        </w:rPr>
        <w:t>D</w:t>
      </w:r>
      <w:r w:rsidRPr="0040253A">
        <w:t>. Объемы этих работ в целом возрастали с 14 тыс. км</w:t>
      </w:r>
      <w:r w:rsidRPr="0040253A">
        <w:rPr>
          <w:vertAlign w:val="superscript"/>
        </w:rPr>
        <w:t>2</w:t>
      </w:r>
      <w:r w:rsidRPr="0040253A">
        <w:t xml:space="preserve"> в 2004 г. до 51 тыс. км</w:t>
      </w:r>
      <w:r w:rsidRPr="0040253A">
        <w:rPr>
          <w:vertAlign w:val="superscript"/>
        </w:rPr>
        <w:t>2</w:t>
      </w:r>
      <w:r w:rsidRPr="0040253A">
        <w:t xml:space="preserve"> в 2014 г. с некоторым снижением в период 2015–2016 гг. соответственно до 44 и 47 тыс. км</w:t>
      </w:r>
      <w:r w:rsidRPr="0040253A">
        <w:rPr>
          <w:vertAlign w:val="superscript"/>
        </w:rPr>
        <w:t>2</w:t>
      </w:r>
      <w:r w:rsidRPr="0040253A">
        <w:t>, а также планируемым объемом 3</w:t>
      </w:r>
      <w:r w:rsidRPr="0040253A">
        <w:rPr>
          <w:lang w:val="en-US"/>
        </w:rPr>
        <w:t>D</w:t>
      </w:r>
      <w:r w:rsidRPr="0040253A">
        <w:t xml:space="preserve"> на 2017 г. – 46 тыс. км</w:t>
      </w:r>
      <w:r w:rsidRPr="0040253A">
        <w:rPr>
          <w:vertAlign w:val="superscript"/>
        </w:rPr>
        <w:t>2</w:t>
      </w:r>
      <w:r w:rsidRPr="0040253A">
        <w:t>.</w:t>
      </w:r>
      <w:r w:rsidR="00DB4E80" w:rsidRPr="0040253A">
        <w:t xml:space="preserve"> Фактически выполненный объем сейсморазведки 3</w:t>
      </w:r>
      <w:r w:rsidR="00DB4E80" w:rsidRPr="0040253A">
        <w:rPr>
          <w:lang w:val="en-US"/>
        </w:rPr>
        <w:t>D</w:t>
      </w:r>
      <w:r w:rsidR="00DB4E80" w:rsidRPr="0040253A">
        <w:t xml:space="preserve"> за 9 месяцев 2017 г. достиг 34 тыс. км</w:t>
      </w:r>
      <w:r w:rsidR="00DB4E80" w:rsidRPr="0040253A">
        <w:rPr>
          <w:vertAlign w:val="superscript"/>
        </w:rPr>
        <w:t>2</w:t>
      </w:r>
      <w:r w:rsidR="00DB4E80" w:rsidRPr="0040253A">
        <w:t>.</w:t>
      </w:r>
    </w:p>
    <w:p w:rsidR="00662869" w:rsidRPr="0040253A" w:rsidRDefault="00662869" w:rsidP="00662869">
      <w:pPr>
        <w:spacing w:after="0" w:line="360" w:lineRule="auto"/>
        <w:ind w:hanging="1134"/>
        <w:jc w:val="both"/>
        <w:rPr>
          <w:b/>
        </w:rPr>
      </w:pPr>
      <w:r w:rsidRPr="0040253A">
        <w:rPr>
          <w:b/>
        </w:rPr>
        <w:t>Слайд №</w:t>
      </w:r>
      <w:r w:rsidR="00CD5AB2" w:rsidRPr="0040253A">
        <w:rPr>
          <w:b/>
        </w:rPr>
        <w:t>5</w:t>
      </w:r>
      <w:r w:rsidRPr="0040253A">
        <w:rPr>
          <w:b/>
        </w:rPr>
        <w:t xml:space="preserve"> </w:t>
      </w:r>
      <w:r w:rsidR="00CF36F7" w:rsidRPr="0040253A">
        <w:rPr>
          <w:b/>
        </w:rPr>
        <w:t xml:space="preserve">– </w:t>
      </w:r>
      <w:r w:rsidR="00FB5498" w:rsidRPr="0040253A">
        <w:rPr>
          <w:b/>
        </w:rPr>
        <w:t xml:space="preserve">Основные показатели </w:t>
      </w:r>
      <w:r w:rsidR="005C1243" w:rsidRPr="0040253A">
        <w:rPr>
          <w:b/>
        </w:rPr>
        <w:t>ГРР</w:t>
      </w:r>
      <w:r w:rsidR="00FB5498" w:rsidRPr="0040253A">
        <w:rPr>
          <w:b/>
        </w:rPr>
        <w:t xml:space="preserve"> за счет средств федерального бюджета</w:t>
      </w:r>
      <w:r w:rsidRPr="0040253A">
        <w:rPr>
          <w:b/>
        </w:rPr>
        <w:t>.</w:t>
      </w:r>
    </w:p>
    <w:p w:rsidR="005C1243" w:rsidRPr="0040253A" w:rsidRDefault="007D6495" w:rsidP="007D6495">
      <w:pPr>
        <w:spacing w:after="0" w:line="360" w:lineRule="auto"/>
        <w:ind w:firstLine="567"/>
        <w:jc w:val="both"/>
      </w:pPr>
      <w:r w:rsidRPr="0040253A">
        <w:t xml:space="preserve">В 2016 </w:t>
      </w:r>
      <w:r w:rsidR="00DB4E80" w:rsidRPr="0040253A">
        <w:t>г.</w:t>
      </w:r>
      <w:r w:rsidRPr="0040253A">
        <w:t xml:space="preserve"> объем сейсморазведки МОГТ 2D составил 29</w:t>
      </w:r>
      <w:r w:rsidR="00DB4E80" w:rsidRPr="0040253A">
        <w:t> </w:t>
      </w:r>
      <w:r w:rsidRPr="0040253A">
        <w:t>132</w:t>
      </w:r>
      <w:r w:rsidR="00DB4E80" w:rsidRPr="0040253A">
        <w:t xml:space="preserve"> </w:t>
      </w:r>
      <w:r w:rsidRPr="0040253A">
        <w:t>пог. км и в 2017 г</w:t>
      </w:r>
      <w:r w:rsidR="00DB4E80" w:rsidRPr="0040253A">
        <w:t>.</w:t>
      </w:r>
      <w:r w:rsidRPr="0040253A">
        <w:t xml:space="preserve"> планируется отработка 17</w:t>
      </w:r>
      <w:r w:rsidR="00DB4E80" w:rsidRPr="0040253A">
        <w:t> </w:t>
      </w:r>
      <w:r w:rsidRPr="0040253A">
        <w:t>088</w:t>
      </w:r>
      <w:r w:rsidR="00DB4E80" w:rsidRPr="0040253A">
        <w:t xml:space="preserve"> </w:t>
      </w:r>
      <w:r w:rsidRPr="0040253A">
        <w:t>пог. км сейсмопрофилей МОГТ 2D. Ежегодно выполнялись различные объемы параметрического бурения (от 4</w:t>
      </w:r>
      <w:r w:rsidR="00DB4E80" w:rsidRPr="0040253A">
        <w:t> </w:t>
      </w:r>
      <w:r w:rsidRPr="0040253A">
        <w:t>634</w:t>
      </w:r>
      <w:r w:rsidR="00DB4E80" w:rsidRPr="0040253A">
        <w:t xml:space="preserve"> </w:t>
      </w:r>
      <w:r w:rsidRPr="0040253A">
        <w:t>до 17</w:t>
      </w:r>
      <w:r w:rsidR="00DB4E80" w:rsidRPr="0040253A">
        <w:t> </w:t>
      </w:r>
      <w:r w:rsidRPr="0040253A">
        <w:t>390</w:t>
      </w:r>
      <w:r w:rsidR="00DB4E80" w:rsidRPr="0040253A">
        <w:t xml:space="preserve"> </w:t>
      </w:r>
      <w:r w:rsidRPr="0040253A">
        <w:t xml:space="preserve">м) за исключением 2016 г., когда </w:t>
      </w:r>
      <w:r w:rsidR="00CD5AB2" w:rsidRPr="0040253A">
        <w:t>проходка составила всего 400 м</w:t>
      </w:r>
      <w:r w:rsidRPr="0040253A">
        <w:t>. В 2017 г</w:t>
      </w:r>
      <w:r w:rsidR="00DB4E80" w:rsidRPr="0040253A">
        <w:t>.</w:t>
      </w:r>
      <w:r w:rsidRPr="0040253A">
        <w:t xml:space="preserve"> планируется пробурить 6</w:t>
      </w:r>
      <w:r w:rsidR="00DB4E80" w:rsidRPr="0040253A">
        <w:t> </w:t>
      </w:r>
      <w:r w:rsidRPr="0040253A">
        <w:t>150</w:t>
      </w:r>
      <w:r w:rsidR="00DB4E80" w:rsidRPr="0040253A">
        <w:t xml:space="preserve"> </w:t>
      </w:r>
      <w:r w:rsidRPr="0040253A">
        <w:t>м параметрических скважин.</w:t>
      </w:r>
    </w:p>
    <w:p w:rsidR="00FB5498" w:rsidRPr="0040253A" w:rsidRDefault="00FB5498" w:rsidP="007D6495">
      <w:pPr>
        <w:spacing w:after="0" w:line="360" w:lineRule="auto"/>
        <w:ind w:firstLine="567"/>
        <w:jc w:val="both"/>
      </w:pPr>
      <w:r w:rsidRPr="0040253A">
        <w:t>В 20</w:t>
      </w:r>
      <w:r w:rsidR="00E26CFE" w:rsidRPr="0040253A">
        <w:t>04</w:t>
      </w:r>
      <w:r w:rsidRPr="0040253A">
        <w:t>–2017 гг. за счет средств федерального бюджета выполнялись значительные объемы научно-исследовательских работ сопровождения геолого-геофизических работ в пределах всех нефтегазоносных провинций и акваториях арктических и дальневосточных морей, позволяющи</w:t>
      </w:r>
      <w:r w:rsidR="007D6495" w:rsidRPr="0040253A">
        <w:t>е</w:t>
      </w:r>
      <w:r w:rsidRPr="0040253A">
        <w:t xml:space="preserve"> уточнять геологическое строение и перспективы нефтегазоносности изучаемых регионов. Ежегодно удавалось локализовать значительные объемы прогнозных ресурсов УВ кат. </w:t>
      </w:r>
      <w:r w:rsidRPr="0040253A">
        <w:rPr>
          <w:lang w:val="en-US"/>
        </w:rPr>
        <w:t>D</w:t>
      </w:r>
      <w:r w:rsidRPr="0040253A">
        <w:rPr>
          <w:vertAlign w:val="subscript"/>
        </w:rPr>
        <w:t>1</w:t>
      </w:r>
      <w:r w:rsidRPr="0040253A">
        <w:t xml:space="preserve">лок </w:t>
      </w:r>
      <w:r w:rsidR="00AA76B9" w:rsidRPr="0040253A">
        <w:t xml:space="preserve">– </w:t>
      </w:r>
      <w:r w:rsidRPr="0040253A">
        <w:t xml:space="preserve">от 2 800 до 7 200 млн. т </w:t>
      </w:r>
      <w:r w:rsidR="00AA76B9" w:rsidRPr="0040253A">
        <w:t>н.э. (нефтяного эквивалента</w:t>
      </w:r>
      <w:r w:rsidRPr="0040253A">
        <w:t>), что обеспечивало формирование ежегодных программ лицензирования.</w:t>
      </w:r>
    </w:p>
    <w:p w:rsidR="00FB5498" w:rsidRPr="0040253A" w:rsidRDefault="00FB5498" w:rsidP="00FB5498">
      <w:pPr>
        <w:spacing w:after="0" w:line="360" w:lineRule="auto"/>
        <w:ind w:hanging="1134"/>
        <w:rPr>
          <w:b/>
        </w:rPr>
      </w:pPr>
      <w:r w:rsidRPr="0040253A">
        <w:rPr>
          <w:b/>
        </w:rPr>
        <w:t>Слайд №</w:t>
      </w:r>
      <w:r w:rsidR="00CD5AB2" w:rsidRPr="0040253A">
        <w:rPr>
          <w:b/>
        </w:rPr>
        <w:t>6</w:t>
      </w:r>
      <w:r w:rsidRPr="0040253A">
        <w:rPr>
          <w:b/>
        </w:rPr>
        <w:t xml:space="preserve"> – </w:t>
      </w:r>
      <w:r w:rsidR="00F42B25" w:rsidRPr="0040253A">
        <w:rPr>
          <w:b/>
        </w:rPr>
        <w:t>Схема размещения ГРР на 2017 г.</w:t>
      </w:r>
    </w:p>
    <w:p w:rsidR="00A21CE5" w:rsidRPr="0040253A" w:rsidRDefault="00CF36F7" w:rsidP="00A21CE5">
      <w:pPr>
        <w:spacing w:after="0" w:line="360" w:lineRule="auto"/>
        <w:ind w:firstLine="567"/>
        <w:contextualSpacing/>
        <w:jc w:val="both"/>
      </w:pPr>
      <w:r w:rsidRPr="0040253A">
        <w:t>В 2017 г. ГРР на нефть и газ за счет средств федерального бюджета проводятся на 54 объектах: 32 переходящих с 2016 г. и 22 новых. Итоги этих работ по</w:t>
      </w:r>
      <w:r w:rsidR="007D6495" w:rsidRPr="0040253A">
        <w:t>д</w:t>
      </w:r>
      <w:r w:rsidRPr="0040253A">
        <w:t xml:space="preserve">ведены по состоянию на 01.10 2017 г. Из запланированных годовых объемов финансирования ГРР в сумме 12 047,330 млн. руб. затрачено </w:t>
      </w:r>
      <w:r w:rsidR="00DB4E80" w:rsidRPr="0040253A">
        <w:t xml:space="preserve">на 01.10. 2017 г. </w:t>
      </w:r>
      <w:r w:rsidRPr="0040253A">
        <w:t xml:space="preserve">4 870,497 млн. руб., </w:t>
      </w:r>
      <w:r w:rsidR="007D6495" w:rsidRPr="0040253A">
        <w:t xml:space="preserve">в том числе на </w:t>
      </w:r>
      <w:r w:rsidRPr="0040253A">
        <w:t>строительство параметрических скважин – 994,373 млн. руб.</w:t>
      </w:r>
      <w:r w:rsidR="007D6495" w:rsidRPr="0040253A">
        <w:t xml:space="preserve"> </w:t>
      </w:r>
      <w:r w:rsidR="00A21CE5" w:rsidRPr="0040253A">
        <w:t>Основные объемы сейсморазведки МОГТ 2</w:t>
      </w:r>
      <w:r w:rsidR="00A21CE5" w:rsidRPr="0040253A">
        <w:rPr>
          <w:lang w:val="en-US"/>
        </w:rPr>
        <w:t>D</w:t>
      </w:r>
      <w:r w:rsidR="00A21CE5" w:rsidRPr="0040253A">
        <w:t xml:space="preserve"> отработаны на территории Республики Саха (Якутия) – 2 297 пог. км и Красноярского края –2 071 пог. км.</w:t>
      </w:r>
    </w:p>
    <w:p w:rsidR="00603C53" w:rsidRPr="0040253A" w:rsidRDefault="00603C53" w:rsidP="00A21CE5">
      <w:pPr>
        <w:spacing w:after="0" w:line="360" w:lineRule="auto"/>
        <w:ind w:firstLine="567"/>
        <w:contextualSpacing/>
        <w:jc w:val="both"/>
      </w:pPr>
      <w:r w:rsidRPr="0040253A">
        <w:t xml:space="preserve">Из общего количества отрабатываемых в 2017 г. объектов ГРР за счет средств федерального бюджета до конца года планируется завершить работы по 16 объектам. В настоящее время исследования завершены по </w:t>
      </w:r>
      <w:r w:rsidR="004313CC" w:rsidRPr="0040253A">
        <w:t>5</w:t>
      </w:r>
      <w:r w:rsidRPr="0040253A">
        <w:t xml:space="preserve"> объектам</w:t>
      </w:r>
      <w:r w:rsidR="007D6495" w:rsidRPr="0040253A">
        <w:t xml:space="preserve"> ГРР</w:t>
      </w:r>
      <w:r w:rsidRPr="0040253A">
        <w:t>: одному по Северо-Кавказской НГП</w:t>
      </w:r>
      <w:r w:rsidR="004313CC" w:rsidRPr="0040253A">
        <w:t>,</w:t>
      </w:r>
      <w:r w:rsidRPr="0040253A">
        <w:t xml:space="preserve"> двум – по континентальному шельфу РФ</w:t>
      </w:r>
      <w:r w:rsidR="004313CC" w:rsidRPr="0040253A">
        <w:t xml:space="preserve"> и двум</w:t>
      </w:r>
      <w:r w:rsidR="007D6495" w:rsidRPr="0040253A">
        <w:t xml:space="preserve"> параметрически</w:t>
      </w:r>
      <w:r w:rsidR="004313CC" w:rsidRPr="0040253A">
        <w:t>м</w:t>
      </w:r>
      <w:r w:rsidR="007D6495" w:rsidRPr="0040253A">
        <w:t xml:space="preserve"> скважин</w:t>
      </w:r>
      <w:r w:rsidR="004313CC" w:rsidRPr="0040253A">
        <w:t>ам</w:t>
      </w:r>
      <w:r w:rsidR="00CD5AB2" w:rsidRPr="0040253A">
        <w:t xml:space="preserve"> на территории Дальневосточного ФО</w:t>
      </w:r>
      <w:r w:rsidR="007D6495" w:rsidRPr="0040253A">
        <w:t>.</w:t>
      </w:r>
    </w:p>
    <w:p w:rsidR="00874E85" w:rsidRPr="0040253A" w:rsidRDefault="00874E85" w:rsidP="00874E85">
      <w:pPr>
        <w:spacing w:after="0" w:line="360" w:lineRule="auto"/>
        <w:ind w:hanging="1134"/>
        <w:rPr>
          <w:b/>
        </w:rPr>
      </w:pPr>
      <w:r w:rsidRPr="0040253A">
        <w:rPr>
          <w:b/>
        </w:rPr>
        <w:t>Слайд №</w:t>
      </w:r>
      <w:r w:rsidR="00CD5AB2" w:rsidRPr="0040253A">
        <w:rPr>
          <w:b/>
        </w:rPr>
        <w:t>7</w:t>
      </w:r>
      <w:r w:rsidRPr="0040253A">
        <w:rPr>
          <w:b/>
        </w:rPr>
        <w:t xml:space="preserve"> – приросты и добыча нефти.</w:t>
      </w:r>
    </w:p>
    <w:p w:rsidR="00874E85" w:rsidRPr="0040253A" w:rsidRDefault="00874E85" w:rsidP="00874E85">
      <w:pPr>
        <w:spacing w:after="0" w:line="360" w:lineRule="auto"/>
        <w:ind w:firstLine="567"/>
        <w:jc w:val="both"/>
      </w:pPr>
      <w:r w:rsidRPr="0040253A">
        <w:t>В результате ГРР, проводимых недропользователями в последний период 2004–201</w:t>
      </w:r>
      <w:r w:rsidR="00ED5830" w:rsidRPr="0040253A">
        <w:t>6</w:t>
      </w:r>
      <w:r w:rsidRPr="0040253A">
        <w:t xml:space="preserve"> гг. удалось ежегодно получать приросты запасов (за счет ГРР + переоценка) жидких </w:t>
      </w:r>
      <w:r w:rsidRPr="0040253A">
        <w:lastRenderedPageBreak/>
        <w:t>(нефть + конденсат) и газообразных УВ, превышающие их добычу. Всего за 2004–2016 гг. было добыто 6 492,5 млн. т нефти и конденсата, а извлекаемые их запасы кат. А+В+С</w:t>
      </w:r>
      <w:r w:rsidRPr="0040253A">
        <w:rPr>
          <w:vertAlign w:val="subscript"/>
        </w:rPr>
        <w:t>1</w:t>
      </w:r>
      <w:r w:rsidRPr="0040253A">
        <w:t xml:space="preserve"> приращены в объеме 8 888,7 млн. т (коэффициент восполнения 1,37</w:t>
      </w:r>
      <w:r w:rsidR="00E43045" w:rsidRPr="0040253A">
        <w:t>). З</w:t>
      </w:r>
      <w:r w:rsidRPr="0040253A">
        <w:t>а этот же период</w:t>
      </w:r>
    </w:p>
    <w:p w:rsidR="00874E85" w:rsidRPr="0040253A" w:rsidRDefault="00874E85" w:rsidP="00874E85">
      <w:pPr>
        <w:spacing w:after="0" w:line="360" w:lineRule="auto"/>
        <w:ind w:hanging="1134"/>
        <w:rPr>
          <w:b/>
        </w:rPr>
      </w:pPr>
      <w:r w:rsidRPr="0040253A">
        <w:rPr>
          <w:b/>
        </w:rPr>
        <w:t>Слайд №</w:t>
      </w:r>
      <w:r w:rsidR="00CD5AB2" w:rsidRPr="0040253A">
        <w:rPr>
          <w:b/>
        </w:rPr>
        <w:t>8</w:t>
      </w:r>
      <w:r w:rsidRPr="0040253A">
        <w:rPr>
          <w:b/>
        </w:rPr>
        <w:t xml:space="preserve"> – приросты и добыча газа.</w:t>
      </w:r>
    </w:p>
    <w:p w:rsidR="00874E85" w:rsidRPr="0040253A" w:rsidRDefault="00874E85" w:rsidP="00874E85">
      <w:pPr>
        <w:spacing w:after="0" w:line="360" w:lineRule="auto"/>
        <w:jc w:val="both"/>
      </w:pPr>
      <w:r w:rsidRPr="0040253A">
        <w:t>объем добычи свободного газа составил 7 379,1 млрд. м</w:t>
      </w:r>
      <w:r w:rsidRPr="0040253A">
        <w:rPr>
          <w:vertAlign w:val="superscript"/>
        </w:rPr>
        <w:t>3</w:t>
      </w:r>
      <w:r w:rsidRPr="0040253A">
        <w:t>, прирост запасов газа превысил 10 322,8 млрд. м</w:t>
      </w:r>
      <w:r w:rsidRPr="0040253A">
        <w:rPr>
          <w:vertAlign w:val="superscript"/>
        </w:rPr>
        <w:t>3</w:t>
      </w:r>
      <w:r w:rsidRPr="0040253A">
        <w:t xml:space="preserve"> при коэффициенте восполнения 1,34.</w:t>
      </w:r>
    </w:p>
    <w:p w:rsidR="00A92A1E" w:rsidRPr="0040253A" w:rsidRDefault="00A92A1E" w:rsidP="00A92A1E">
      <w:pPr>
        <w:spacing w:after="0" w:line="360" w:lineRule="auto"/>
        <w:ind w:hanging="1134"/>
        <w:rPr>
          <w:b/>
        </w:rPr>
      </w:pPr>
      <w:r w:rsidRPr="0040253A">
        <w:rPr>
          <w:b/>
        </w:rPr>
        <w:t>Слайд №9 – Открытые месторождения.</w:t>
      </w:r>
    </w:p>
    <w:p w:rsidR="00E43045" w:rsidRPr="0040253A" w:rsidRDefault="00874E85" w:rsidP="00E43045">
      <w:pPr>
        <w:spacing w:after="0" w:line="360" w:lineRule="auto"/>
        <w:ind w:firstLine="567"/>
        <w:contextualSpacing/>
        <w:jc w:val="both"/>
      </w:pPr>
      <w:r w:rsidRPr="0040253A">
        <w:t>В результате ГРР, выполненных недропользователями в 2016 г. открыто 47 месторождений.</w:t>
      </w:r>
      <w:r w:rsidR="000E0FCD" w:rsidRPr="0040253A">
        <w:t xml:space="preserve"> </w:t>
      </w:r>
      <w:r w:rsidR="00E43045" w:rsidRPr="0040253A">
        <w:t>Средняя оценка величины месторождения (по сумме кат</w:t>
      </w:r>
      <w:r w:rsidR="00F06942" w:rsidRPr="0040253A">
        <w:t>.</w:t>
      </w:r>
      <w:r w:rsidR="00E43045" w:rsidRPr="0040253A">
        <w:t xml:space="preserve"> С</w:t>
      </w:r>
      <w:r w:rsidR="00E43045" w:rsidRPr="0040253A">
        <w:rPr>
          <w:vertAlign w:val="subscript"/>
        </w:rPr>
        <w:t>1</w:t>
      </w:r>
      <w:r w:rsidR="00E43045" w:rsidRPr="0040253A">
        <w:t>+С</w:t>
      </w:r>
      <w:r w:rsidR="00E43045" w:rsidRPr="0040253A">
        <w:rPr>
          <w:vertAlign w:val="subscript"/>
        </w:rPr>
        <w:t>2</w:t>
      </w:r>
      <w:r w:rsidR="00E43045" w:rsidRPr="0040253A">
        <w:t>) составляет по извлекаемым запасам нефти 1,5 млн. т, по газу – 22,2 млрд. м</w:t>
      </w:r>
      <w:r w:rsidR="00E43045" w:rsidRPr="0040253A">
        <w:rPr>
          <w:vertAlign w:val="superscript"/>
        </w:rPr>
        <w:t>3</w:t>
      </w:r>
      <w:r w:rsidR="00E43045" w:rsidRPr="0040253A">
        <w:t>.</w:t>
      </w:r>
    </w:p>
    <w:p w:rsidR="000E0FCD" w:rsidRPr="0040253A" w:rsidRDefault="00E43045" w:rsidP="00E43045">
      <w:pPr>
        <w:spacing w:after="0" w:line="360" w:lineRule="auto"/>
        <w:ind w:firstLine="567"/>
        <w:contextualSpacing/>
        <w:jc w:val="both"/>
      </w:pPr>
      <w:r w:rsidRPr="0040253A">
        <w:t>Наиболее крупные месторождения: нефтяное Нерцетинское, расположенное в НАО, оценивается по извлекаемы</w:t>
      </w:r>
      <w:r w:rsidR="000E0FCD" w:rsidRPr="0040253A">
        <w:t>м запасам нефти в 17,4 млн. т.</w:t>
      </w:r>
      <w:r w:rsidRPr="0040253A">
        <w:t>, нефтегазоконденсатное Верхнеичерское, расположенное в Иркутской области, с извлекаемыми запасами нефти 11,4 млн. т., газа – 52,6 млрд. м</w:t>
      </w:r>
      <w:r w:rsidRPr="0040253A">
        <w:rPr>
          <w:vertAlign w:val="superscript"/>
        </w:rPr>
        <w:t>3</w:t>
      </w:r>
      <w:r w:rsidR="000E0FCD" w:rsidRPr="0040253A">
        <w:t xml:space="preserve">, </w:t>
      </w:r>
      <w:r w:rsidRPr="0040253A">
        <w:t xml:space="preserve">и газоконденсатное месторождение Илгычахское, расположенное в Республики Саха-Якутия, с </w:t>
      </w:r>
      <w:r w:rsidR="000E0FCD" w:rsidRPr="0040253A">
        <w:t>запасами газа – 53,038 млрд. м</w:t>
      </w:r>
      <w:r w:rsidR="000E0FCD" w:rsidRPr="0040253A">
        <w:rPr>
          <w:vertAlign w:val="superscript"/>
        </w:rPr>
        <w:t>3</w:t>
      </w:r>
      <w:r w:rsidR="000E0FCD" w:rsidRPr="0040253A">
        <w:t xml:space="preserve">. </w:t>
      </w:r>
    </w:p>
    <w:p w:rsidR="00E43045" w:rsidRPr="0040253A" w:rsidRDefault="00E43045" w:rsidP="00E43045">
      <w:pPr>
        <w:spacing w:after="0" w:line="360" w:lineRule="auto"/>
        <w:ind w:firstLine="567"/>
        <w:contextualSpacing/>
        <w:jc w:val="both"/>
      </w:pPr>
      <w:r w:rsidRPr="0040253A">
        <w:t>По предварительным данным по состоянию на 06.10.2017 в 2017 году открыто 32 месторождения УВС. Средняя оценка величины месторождения (по сумме категорий С1+С2) составляет по извлекаемым запасам нефти 3,6 млн. т., по газу – 24,6 млрд. м</w:t>
      </w:r>
      <w:r w:rsidRPr="0040253A">
        <w:rPr>
          <w:vertAlign w:val="superscript"/>
        </w:rPr>
        <w:t>3</w:t>
      </w:r>
      <w:r w:rsidRPr="0040253A">
        <w:t>.</w:t>
      </w:r>
    </w:p>
    <w:p w:rsidR="00E43045" w:rsidRPr="0040253A" w:rsidRDefault="00E43045" w:rsidP="006153CA">
      <w:pPr>
        <w:spacing w:after="0" w:line="360" w:lineRule="auto"/>
        <w:ind w:firstLine="567"/>
        <w:contextualSpacing/>
        <w:jc w:val="both"/>
      </w:pPr>
      <w:r w:rsidRPr="0040253A">
        <w:t xml:space="preserve">Наиболее крупные месторождения: нефтяное Гораздинское, расположенное в Иркутской области, оценивается по извлекаемым запасам нефти в 26,1 млн. т., нефтяное Вятшинское, расположенное в Иркутской области, оценивается по извлекаемым запасам </w:t>
      </w:r>
      <w:r w:rsidR="000E0FCD" w:rsidRPr="0040253A">
        <w:t xml:space="preserve">нефти в 18,9 млн. т., </w:t>
      </w:r>
      <w:r w:rsidRPr="0040253A">
        <w:t>нефтяное Судьбадаровское, расположенное в Оренбургской области, оценивается по извлекае</w:t>
      </w:r>
      <w:r w:rsidR="00427ADF" w:rsidRPr="0040253A">
        <w:t>мым запасам нефти в 13,2 млн. т.</w:t>
      </w:r>
      <w:r w:rsidRPr="0040253A">
        <w:t>, газоконденсатное Лунское, расположенное на шельфе Охотского моря, с запасами газа – 48,9 млрд. м</w:t>
      </w:r>
      <w:r w:rsidRPr="0040253A">
        <w:rPr>
          <w:vertAlign w:val="superscript"/>
        </w:rPr>
        <w:t>3</w:t>
      </w:r>
      <w:r w:rsidR="00427ADF" w:rsidRPr="0040253A">
        <w:t>.</w:t>
      </w:r>
    </w:p>
    <w:p w:rsidR="0023406C" w:rsidRPr="0040253A" w:rsidRDefault="0023406C" w:rsidP="0023406C">
      <w:pPr>
        <w:spacing w:after="0" w:line="360" w:lineRule="auto"/>
        <w:ind w:firstLine="567"/>
        <w:contextualSpacing/>
        <w:jc w:val="both"/>
      </w:pPr>
    </w:p>
    <w:p w:rsidR="0023406C" w:rsidRPr="0040253A" w:rsidRDefault="0023406C" w:rsidP="0023406C">
      <w:pPr>
        <w:spacing w:after="0" w:line="360" w:lineRule="auto"/>
        <w:ind w:firstLine="567"/>
        <w:contextualSpacing/>
        <w:jc w:val="both"/>
      </w:pPr>
      <w:r w:rsidRPr="0040253A">
        <w:t>Подавляющая часть ГРР на нефть и газ в России, как отмечено выше, выполняется недропользователями за счет собственных средств. В прошедшем 2016 г. из общего объема финансирования ГРР на нефть и газ в стране в сумме 263,8 млрд. руб. на долю недропользователей пришлось 252,2 млрд. руб. (95%).</w:t>
      </w:r>
    </w:p>
    <w:p w:rsidR="006153CA" w:rsidRPr="0040253A" w:rsidRDefault="006153CA" w:rsidP="006153CA">
      <w:pPr>
        <w:spacing w:after="0" w:line="360" w:lineRule="auto"/>
        <w:ind w:hanging="1134"/>
        <w:jc w:val="both"/>
        <w:rPr>
          <w:b/>
          <w:bCs/>
        </w:rPr>
      </w:pPr>
      <w:r w:rsidRPr="0040253A">
        <w:rPr>
          <w:b/>
        </w:rPr>
        <w:t>Слайд №</w:t>
      </w:r>
      <w:r w:rsidR="00715595" w:rsidRPr="0040253A">
        <w:rPr>
          <w:b/>
        </w:rPr>
        <w:t>10</w:t>
      </w:r>
      <w:r w:rsidRPr="0040253A">
        <w:rPr>
          <w:b/>
        </w:rPr>
        <w:t xml:space="preserve"> Сравнение количества подготовленных и состоявшихся аукционов и конкурсов за период 2004 – 9 месяцев</w:t>
      </w:r>
      <w:r w:rsidRPr="0040253A">
        <w:rPr>
          <w:b/>
          <w:bCs/>
        </w:rPr>
        <w:t xml:space="preserve"> 2017 г.</w:t>
      </w:r>
    </w:p>
    <w:p w:rsidR="006153CA" w:rsidRPr="0040253A" w:rsidRDefault="006153CA" w:rsidP="006153CA">
      <w:pPr>
        <w:spacing w:after="0" w:line="360" w:lineRule="auto"/>
        <w:ind w:firstLine="567"/>
        <w:jc w:val="both"/>
      </w:pPr>
      <w:r w:rsidRPr="0040253A">
        <w:rPr>
          <w:bCs/>
        </w:rPr>
        <w:t xml:space="preserve">Количество подготовленных аукционов и конкурсов всегда превышает количество состоявшихся. Основным вопросом в период  2008 -2012 г является резкое увеличение числа несостоявшихся аукционов. Чаще всего подготовленные аукционы отменяются из-за отсутствия заявок, или из-за подачи только одной заявки. На основе анализа оснований для отмены аукционов были предложены поправки к Закону «О недрах», позволяющие </w:t>
      </w:r>
      <w:r w:rsidRPr="0040253A">
        <w:rPr>
          <w:bCs/>
        </w:rPr>
        <w:lastRenderedPageBreak/>
        <w:t xml:space="preserve">передавать участок в пользование единственному заявителю. Такой механизм позволит повысить эффективность проведения аукционов, увеличит поступления разовых платежей в бюджет, сократит потери налога на добычу полезных ископаемых при несвоевременном вводе объекта в эксплуатацию. </w:t>
      </w:r>
    </w:p>
    <w:p w:rsidR="006153CA" w:rsidRPr="0040253A" w:rsidRDefault="006153CA" w:rsidP="006153CA">
      <w:pPr>
        <w:spacing w:after="0" w:line="360" w:lineRule="auto"/>
        <w:ind w:firstLine="567"/>
        <w:jc w:val="both"/>
        <w:rPr>
          <w:bCs/>
        </w:rPr>
      </w:pPr>
      <w:r w:rsidRPr="0040253A">
        <w:rPr>
          <w:bCs/>
        </w:rPr>
        <w:t>Начиная с 2013 года, вновь начала увеличиваться доля состоявшихся аукционов и конкурсов по отношению к объявленным. Произошло, это в немалой степени вследствие принятия в 2011 г. новой методики расчета стартовых платежей, а также Инструкции по документообороту, связанному с государственной системой лицензирования прав пользования недрами, утвержденной 31.03.2014г</w:t>
      </w:r>
    </w:p>
    <w:p w:rsidR="006153CA" w:rsidRPr="0040253A" w:rsidRDefault="006153CA" w:rsidP="006153CA">
      <w:pPr>
        <w:spacing w:after="0" w:line="360" w:lineRule="auto"/>
        <w:ind w:hanging="1134"/>
        <w:rPr>
          <w:b/>
        </w:rPr>
      </w:pPr>
      <w:r w:rsidRPr="0040253A">
        <w:rPr>
          <w:b/>
        </w:rPr>
        <w:t xml:space="preserve">Слайд </w:t>
      </w:r>
      <w:r w:rsidR="00CF66CB" w:rsidRPr="0040253A">
        <w:rPr>
          <w:b/>
        </w:rPr>
        <w:t>№</w:t>
      </w:r>
      <w:r w:rsidRPr="0040253A">
        <w:rPr>
          <w:b/>
        </w:rPr>
        <w:t>1</w:t>
      </w:r>
      <w:r w:rsidR="00715595" w:rsidRPr="0040253A">
        <w:rPr>
          <w:b/>
        </w:rPr>
        <w:t>1</w:t>
      </w:r>
      <w:r w:rsidRPr="0040253A">
        <w:rPr>
          <w:b/>
        </w:rPr>
        <w:t xml:space="preserve"> </w:t>
      </w:r>
      <w:r w:rsidR="00D83AB3">
        <w:rPr>
          <w:b/>
          <w:iCs/>
        </w:rPr>
        <w:t>О</w:t>
      </w:r>
      <w:r w:rsidR="00D83AB3" w:rsidRPr="00D83AB3">
        <w:rPr>
          <w:b/>
          <w:iCs/>
        </w:rPr>
        <w:t xml:space="preserve">бъем </w:t>
      </w:r>
      <w:r w:rsidR="00D83AB3">
        <w:rPr>
          <w:b/>
          <w:iCs/>
        </w:rPr>
        <w:t>п</w:t>
      </w:r>
      <w:r w:rsidR="00D83AB3" w:rsidRPr="00D83AB3">
        <w:rPr>
          <w:b/>
          <w:iCs/>
        </w:rPr>
        <w:t xml:space="preserve">ереданных </w:t>
      </w:r>
      <w:r w:rsidR="00D83AB3">
        <w:rPr>
          <w:b/>
          <w:iCs/>
        </w:rPr>
        <w:t>в</w:t>
      </w:r>
      <w:r w:rsidR="00D83AB3" w:rsidRPr="00D83AB3">
        <w:rPr>
          <w:b/>
          <w:iCs/>
        </w:rPr>
        <w:t xml:space="preserve"> распределенный фонд недр запасов </w:t>
      </w:r>
      <w:r w:rsidRPr="0040253A">
        <w:rPr>
          <w:b/>
          <w:iCs/>
        </w:rPr>
        <w:t>нефти за период 2004 – 9 месяцев 2017 года по результатам проведения аукционов и конкурсов.</w:t>
      </w:r>
    </w:p>
    <w:p w:rsidR="006153CA" w:rsidRPr="0040253A" w:rsidRDefault="006153CA" w:rsidP="006153CA">
      <w:pPr>
        <w:spacing w:after="0" w:line="360" w:lineRule="auto"/>
        <w:ind w:firstLine="567"/>
        <w:jc w:val="both"/>
        <w:rPr>
          <w:bCs/>
        </w:rPr>
      </w:pPr>
      <w:r w:rsidRPr="0040253A">
        <w:rPr>
          <w:bCs/>
        </w:rPr>
        <w:t xml:space="preserve">За период с 2004 года по 9 месяцев 2017 года </w:t>
      </w:r>
      <w:r w:rsidR="00D83AB3">
        <w:rPr>
          <w:bCs/>
        </w:rPr>
        <w:t>о</w:t>
      </w:r>
      <w:r w:rsidR="00D83AB3" w:rsidRPr="00D83AB3">
        <w:rPr>
          <w:bCs/>
        </w:rPr>
        <w:t xml:space="preserve">бъем переданных в распределенный фонд </w:t>
      </w:r>
      <w:r w:rsidRPr="0040253A">
        <w:rPr>
          <w:bCs/>
        </w:rPr>
        <w:t>запасов нефти категории С</w:t>
      </w:r>
      <w:r w:rsidRPr="0040253A">
        <w:rPr>
          <w:bCs/>
          <w:vertAlign w:val="subscript"/>
        </w:rPr>
        <w:t>1</w:t>
      </w:r>
      <w:r w:rsidRPr="0040253A">
        <w:rPr>
          <w:bCs/>
        </w:rPr>
        <w:t xml:space="preserve"> и С</w:t>
      </w:r>
      <w:r w:rsidRPr="0040253A">
        <w:rPr>
          <w:bCs/>
          <w:vertAlign w:val="subscript"/>
        </w:rPr>
        <w:t>2</w:t>
      </w:r>
      <w:r w:rsidRPr="0040253A">
        <w:rPr>
          <w:bCs/>
        </w:rPr>
        <w:t xml:space="preserve"> составило 1 955,6 млн. т. Наименьшее количество переданных недропользователям запасов нефти категории С</w:t>
      </w:r>
      <w:r w:rsidRPr="0040253A">
        <w:rPr>
          <w:bCs/>
          <w:vertAlign w:val="subscript"/>
        </w:rPr>
        <w:t>1</w:t>
      </w:r>
      <w:r w:rsidRPr="0040253A">
        <w:rPr>
          <w:bCs/>
        </w:rPr>
        <w:t xml:space="preserve"> наблюдалось в 2007 году, по категории С</w:t>
      </w:r>
      <w:r w:rsidRPr="0040253A">
        <w:rPr>
          <w:bCs/>
          <w:vertAlign w:val="subscript"/>
        </w:rPr>
        <w:t>2</w:t>
      </w:r>
      <w:r w:rsidRPr="0040253A">
        <w:rPr>
          <w:bCs/>
        </w:rPr>
        <w:t xml:space="preserve"> – в 2004 году. Максимальный </w:t>
      </w:r>
      <w:r w:rsidR="00D83AB3">
        <w:rPr>
          <w:bCs/>
        </w:rPr>
        <w:t>о</w:t>
      </w:r>
      <w:r w:rsidR="00D83AB3" w:rsidRPr="00D83AB3">
        <w:rPr>
          <w:bCs/>
        </w:rPr>
        <w:t xml:space="preserve">бъем переданных в распределенный фонд </w:t>
      </w:r>
      <w:r w:rsidRPr="0040253A">
        <w:rPr>
          <w:bCs/>
        </w:rPr>
        <w:t>запасов нефти категории С</w:t>
      </w:r>
      <w:r w:rsidRPr="0040253A">
        <w:rPr>
          <w:bCs/>
          <w:vertAlign w:val="subscript"/>
        </w:rPr>
        <w:t>1</w:t>
      </w:r>
      <w:r w:rsidRPr="0040253A">
        <w:rPr>
          <w:bCs/>
        </w:rPr>
        <w:t xml:space="preserve"> наблюдался в 2010 году за счет участка месторождения им. Р. Требса и А. Титова, по категории С</w:t>
      </w:r>
      <w:r w:rsidRPr="0040253A">
        <w:rPr>
          <w:bCs/>
          <w:vertAlign w:val="subscript"/>
        </w:rPr>
        <w:t>2</w:t>
      </w:r>
      <w:r w:rsidRPr="0040253A">
        <w:rPr>
          <w:bCs/>
        </w:rPr>
        <w:t xml:space="preserve"> – в 2012 году за счет участка недр федерального значения, включающего месторождения Имилорское+Западно-Имилорское и Источное. В 2013 году резко снизилс</w:t>
      </w:r>
      <w:r w:rsidR="00D83AB3">
        <w:rPr>
          <w:bCs/>
        </w:rPr>
        <w:t>я</w:t>
      </w:r>
      <w:r w:rsidRPr="0040253A">
        <w:rPr>
          <w:bCs/>
        </w:rPr>
        <w:t xml:space="preserve"> </w:t>
      </w:r>
      <w:r w:rsidR="00D83AB3">
        <w:rPr>
          <w:bCs/>
        </w:rPr>
        <w:t>о</w:t>
      </w:r>
      <w:r w:rsidR="00D83AB3" w:rsidRPr="00D83AB3">
        <w:rPr>
          <w:bCs/>
        </w:rPr>
        <w:t>бъем переданных в распределенный фонд</w:t>
      </w:r>
      <w:r w:rsidRPr="0040253A">
        <w:rPr>
          <w:bCs/>
        </w:rPr>
        <w:t xml:space="preserve"> запасов нефти категорий С</w:t>
      </w:r>
      <w:r w:rsidRPr="0040253A">
        <w:rPr>
          <w:bCs/>
          <w:vertAlign w:val="subscript"/>
        </w:rPr>
        <w:t>1</w:t>
      </w:r>
      <w:r w:rsidRPr="0040253A">
        <w:rPr>
          <w:bCs/>
        </w:rPr>
        <w:t xml:space="preserve"> и С</w:t>
      </w:r>
      <w:r w:rsidRPr="0040253A">
        <w:rPr>
          <w:bCs/>
          <w:vertAlign w:val="subscript"/>
        </w:rPr>
        <w:t>2</w:t>
      </w:r>
      <w:r w:rsidRPr="0040253A">
        <w:rPr>
          <w:bCs/>
        </w:rPr>
        <w:t>, однако уже с 2014 года объемы начали вновь увеличиваться и за 9 месяцев 2017 года достигли значений по категории С</w:t>
      </w:r>
      <w:r w:rsidRPr="0040253A">
        <w:rPr>
          <w:bCs/>
          <w:vertAlign w:val="subscript"/>
        </w:rPr>
        <w:t>1</w:t>
      </w:r>
      <w:r w:rsidRPr="0040253A">
        <w:rPr>
          <w:bCs/>
        </w:rPr>
        <w:t xml:space="preserve"> – 21,7 млн.т, по категории С</w:t>
      </w:r>
      <w:r w:rsidRPr="0040253A">
        <w:rPr>
          <w:bCs/>
          <w:vertAlign w:val="subscript"/>
        </w:rPr>
        <w:t>2</w:t>
      </w:r>
      <w:r w:rsidRPr="0040253A">
        <w:rPr>
          <w:bCs/>
        </w:rPr>
        <w:t xml:space="preserve"> - 86,5 млн.т благодаря передачи в пользование 4 участков федерального значения: Гыданский; участок недр, включающий Верхне-Тиутейское и Западно-Сеяхинское месторождения; Штормовой и Эргинский.</w:t>
      </w:r>
    </w:p>
    <w:p w:rsidR="006153CA" w:rsidRPr="0040253A" w:rsidRDefault="006153CA" w:rsidP="00CF66CB">
      <w:pPr>
        <w:spacing w:after="0" w:line="360" w:lineRule="auto"/>
        <w:ind w:hanging="1134"/>
        <w:rPr>
          <w:b/>
          <w:bCs/>
          <w:iCs/>
        </w:rPr>
      </w:pPr>
      <w:r w:rsidRPr="0040253A">
        <w:rPr>
          <w:b/>
          <w:bCs/>
        </w:rPr>
        <w:t xml:space="preserve">Слайд </w:t>
      </w:r>
      <w:r w:rsidR="00CF66CB" w:rsidRPr="0040253A">
        <w:rPr>
          <w:b/>
          <w:bCs/>
        </w:rPr>
        <w:t>№</w:t>
      </w:r>
      <w:r w:rsidRPr="0040253A">
        <w:rPr>
          <w:b/>
          <w:bCs/>
        </w:rPr>
        <w:t>1</w:t>
      </w:r>
      <w:r w:rsidR="00715595" w:rsidRPr="0040253A">
        <w:rPr>
          <w:b/>
          <w:bCs/>
        </w:rPr>
        <w:t>2</w:t>
      </w:r>
      <w:r w:rsidRPr="0040253A">
        <w:rPr>
          <w:rFonts w:eastAsiaTheme="majorEastAsia"/>
          <w:b/>
          <w:iCs/>
          <w:color w:val="000000" w:themeColor="text1"/>
          <w:kern w:val="24"/>
          <w:sz w:val="36"/>
          <w:szCs w:val="32"/>
        </w:rPr>
        <w:t xml:space="preserve"> </w:t>
      </w:r>
      <w:r w:rsidR="00D83AB3">
        <w:rPr>
          <w:b/>
          <w:iCs/>
        </w:rPr>
        <w:t>О</w:t>
      </w:r>
      <w:r w:rsidR="00D83AB3" w:rsidRPr="00D83AB3">
        <w:rPr>
          <w:b/>
          <w:iCs/>
        </w:rPr>
        <w:t xml:space="preserve">бъем </w:t>
      </w:r>
      <w:r w:rsidR="00D83AB3">
        <w:rPr>
          <w:b/>
          <w:iCs/>
        </w:rPr>
        <w:t>п</w:t>
      </w:r>
      <w:r w:rsidR="00D83AB3" w:rsidRPr="00D83AB3">
        <w:rPr>
          <w:b/>
          <w:iCs/>
        </w:rPr>
        <w:t xml:space="preserve">ереданных </w:t>
      </w:r>
      <w:r w:rsidR="00D83AB3">
        <w:rPr>
          <w:b/>
          <w:iCs/>
        </w:rPr>
        <w:t>в</w:t>
      </w:r>
      <w:r w:rsidR="00D83AB3" w:rsidRPr="00D83AB3">
        <w:rPr>
          <w:b/>
          <w:iCs/>
        </w:rPr>
        <w:t xml:space="preserve"> распределенный фонд недр</w:t>
      </w:r>
      <w:r w:rsidR="00D83AB3" w:rsidRPr="0040253A">
        <w:rPr>
          <w:b/>
          <w:bCs/>
          <w:iCs/>
        </w:rPr>
        <w:t xml:space="preserve"> </w:t>
      </w:r>
      <w:r w:rsidRPr="0040253A">
        <w:rPr>
          <w:b/>
          <w:bCs/>
          <w:iCs/>
        </w:rPr>
        <w:t>ресурсов нефти за период 2004 – 9 месяцев 2017 года по результатам проведения аукционов и конкурсов</w:t>
      </w:r>
      <w:r w:rsidR="00CF66CB" w:rsidRPr="0040253A">
        <w:rPr>
          <w:b/>
          <w:bCs/>
          <w:iCs/>
        </w:rPr>
        <w:t>.</w:t>
      </w:r>
    </w:p>
    <w:p w:rsidR="006153CA" w:rsidRDefault="006153CA" w:rsidP="00CF66CB">
      <w:pPr>
        <w:spacing w:after="0" w:line="360" w:lineRule="auto"/>
        <w:ind w:firstLine="567"/>
        <w:jc w:val="both"/>
      </w:pPr>
      <w:r w:rsidRPr="0040253A">
        <w:t xml:space="preserve">За период с 2004 года по 9 месяцев 2017 года </w:t>
      </w:r>
      <w:r w:rsidR="00D83AB3">
        <w:t>о</w:t>
      </w:r>
      <w:r w:rsidR="00D83AB3" w:rsidRPr="00D83AB3">
        <w:t xml:space="preserve">бъем переданных в распределенный фонд </w:t>
      </w:r>
      <w:r w:rsidRPr="0040253A">
        <w:t>ресурсов категории С</w:t>
      </w:r>
      <w:r w:rsidRPr="0040253A">
        <w:rPr>
          <w:vertAlign w:val="subscript"/>
        </w:rPr>
        <w:t>3</w:t>
      </w:r>
      <w:r w:rsidRPr="0040253A">
        <w:t xml:space="preserve"> и </w:t>
      </w:r>
      <w:r w:rsidR="00CF66CB" w:rsidRPr="0040253A">
        <w:rPr>
          <w:lang w:val="en-US"/>
        </w:rPr>
        <w:t>D</w:t>
      </w:r>
      <w:r w:rsidRPr="0040253A">
        <w:t xml:space="preserve"> составило 10 523,6 млн.т. Наименьшее количество переданных недропользователям ресурсов нефти категории С</w:t>
      </w:r>
      <w:r w:rsidRPr="0040253A">
        <w:rPr>
          <w:vertAlign w:val="subscript"/>
        </w:rPr>
        <w:t>3</w:t>
      </w:r>
      <w:r w:rsidRPr="0040253A">
        <w:t xml:space="preserve"> наблюдалось в 2004 году, по категории </w:t>
      </w:r>
      <w:r w:rsidR="00CF66CB" w:rsidRPr="0040253A">
        <w:rPr>
          <w:lang w:val="en-US"/>
        </w:rPr>
        <w:t>D</w:t>
      </w:r>
      <w:r w:rsidRPr="0040253A">
        <w:t xml:space="preserve"> – в 2013 году. Максимальный объем </w:t>
      </w:r>
      <w:r w:rsidR="00D83AB3">
        <w:t>переданных</w:t>
      </w:r>
      <w:r w:rsidRPr="0040253A">
        <w:t xml:space="preserve"> ресурсов нефти категории С</w:t>
      </w:r>
      <w:r w:rsidRPr="0040253A">
        <w:rPr>
          <w:vertAlign w:val="subscript"/>
        </w:rPr>
        <w:t>3</w:t>
      </w:r>
      <w:r w:rsidRPr="0040253A">
        <w:t xml:space="preserve"> наблюдался в 2007 году за счет Тазовско-Заполярного участка, по категории </w:t>
      </w:r>
      <w:r w:rsidR="00CF66CB" w:rsidRPr="0040253A">
        <w:rPr>
          <w:lang w:val="en-US"/>
        </w:rPr>
        <w:t>D</w:t>
      </w:r>
      <w:r w:rsidRPr="0040253A">
        <w:t xml:space="preserve"> – в 2006 году за счет Нижненепского участка недр. В 2013 году так же резко </w:t>
      </w:r>
      <w:r w:rsidR="00D83AB3">
        <w:t xml:space="preserve">снизился объем переданных </w:t>
      </w:r>
      <w:r w:rsidRPr="0040253A">
        <w:t>ресурсов нефти категорий С</w:t>
      </w:r>
      <w:r w:rsidRPr="0040253A">
        <w:rPr>
          <w:vertAlign w:val="subscript"/>
        </w:rPr>
        <w:t>3</w:t>
      </w:r>
      <w:r w:rsidRPr="0040253A">
        <w:t xml:space="preserve"> и </w:t>
      </w:r>
      <w:r w:rsidR="00CF66CB" w:rsidRPr="0040253A">
        <w:rPr>
          <w:lang w:val="en-US"/>
        </w:rPr>
        <w:t>D</w:t>
      </w:r>
      <w:r w:rsidRPr="0040253A">
        <w:t xml:space="preserve">. С 2016 года объем </w:t>
      </w:r>
      <w:r w:rsidR="00D83AB3">
        <w:t>переданных</w:t>
      </w:r>
      <w:r w:rsidRPr="0040253A">
        <w:t xml:space="preserve"> ресурсов заметно возрос за счет Танамского и Няхартинского участков недр.</w:t>
      </w:r>
    </w:p>
    <w:p w:rsidR="00D83AB3" w:rsidRPr="0040253A" w:rsidRDefault="00D83AB3" w:rsidP="00CF66CB">
      <w:pPr>
        <w:spacing w:after="0" w:line="360" w:lineRule="auto"/>
        <w:ind w:firstLine="567"/>
        <w:jc w:val="both"/>
      </w:pPr>
      <w:bookmarkStart w:id="0" w:name="_GoBack"/>
      <w:bookmarkEnd w:id="0"/>
    </w:p>
    <w:p w:rsidR="0014614F" w:rsidRPr="0040253A" w:rsidRDefault="0014614F" w:rsidP="0002431A">
      <w:pPr>
        <w:spacing w:after="0" w:line="360" w:lineRule="auto"/>
        <w:ind w:firstLine="567"/>
        <w:contextualSpacing/>
        <w:jc w:val="both"/>
      </w:pPr>
    </w:p>
    <w:p w:rsidR="00F32425" w:rsidRPr="0040253A" w:rsidRDefault="00DD6A2A" w:rsidP="00DD6A2A">
      <w:pPr>
        <w:spacing w:after="0" w:line="360" w:lineRule="auto"/>
        <w:ind w:hanging="1134"/>
        <w:contextualSpacing/>
        <w:jc w:val="both"/>
        <w:rPr>
          <w:b/>
        </w:rPr>
      </w:pPr>
      <w:r w:rsidRPr="0040253A">
        <w:rPr>
          <w:b/>
        </w:rPr>
        <w:lastRenderedPageBreak/>
        <w:t>Слайд №1</w:t>
      </w:r>
      <w:r w:rsidR="00715595" w:rsidRPr="0040253A">
        <w:rPr>
          <w:b/>
        </w:rPr>
        <w:t>3</w:t>
      </w:r>
      <w:r w:rsidRPr="0040253A">
        <w:rPr>
          <w:b/>
        </w:rPr>
        <w:t>– Распределение количества объектов ГРР в 2018 г.</w:t>
      </w:r>
    </w:p>
    <w:p w:rsidR="00C83ACA" w:rsidRPr="0040253A" w:rsidRDefault="00C83ACA" w:rsidP="00C83ACA">
      <w:pPr>
        <w:spacing w:after="0"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0253A">
        <w:rPr>
          <w:b/>
          <w:i/>
          <w:sz w:val="28"/>
          <w:szCs w:val="28"/>
        </w:rPr>
        <w:t>Задачи ГРР на нефть и газ за счет средств федерального бюджета на 2018 г.</w:t>
      </w:r>
    </w:p>
    <w:p w:rsidR="00C83ACA" w:rsidRPr="0040253A" w:rsidRDefault="00C83ACA" w:rsidP="00C83ACA">
      <w:pPr>
        <w:spacing w:after="0" w:line="360" w:lineRule="auto"/>
        <w:ind w:firstLine="567"/>
        <w:contextualSpacing/>
        <w:jc w:val="both"/>
      </w:pPr>
      <w:r w:rsidRPr="0040253A">
        <w:t>В 2018 г. планируется отработка 52 объектов ГРР за счёт средств федерального бюджета.</w:t>
      </w:r>
    </w:p>
    <w:p w:rsidR="00DD6A2A" w:rsidRPr="0040253A" w:rsidRDefault="00DD6A2A" w:rsidP="00F32425">
      <w:pPr>
        <w:spacing w:after="0" w:line="360" w:lineRule="auto"/>
        <w:ind w:firstLine="567"/>
        <w:contextualSpacing/>
        <w:jc w:val="both"/>
      </w:pPr>
      <w:r w:rsidRPr="0040253A">
        <w:t xml:space="preserve">ГРР планируется сконцентрировать на востоке России: </w:t>
      </w:r>
      <w:r w:rsidR="00ED5830" w:rsidRPr="0040253A">
        <w:t>в</w:t>
      </w:r>
      <w:r w:rsidRPr="0040253A">
        <w:t xml:space="preserve"> Сибирском ФО - 15 объектов и Дальневосточном ФО – 11 объектов. Анализ количества ежегодно</w:t>
      </w:r>
      <w:r w:rsidR="00AA79DF" w:rsidRPr="0040253A">
        <w:t xml:space="preserve"> отрабатываемых объектов ГРР за счёт средств федерального бюджета в период 2005-2018 гг. в целом непрерывно снижается. Достигнув максимума в 2007 г. в количестве 236, </w:t>
      </w:r>
      <w:r w:rsidR="0098461A" w:rsidRPr="0040253A">
        <w:t>число</w:t>
      </w:r>
      <w:r w:rsidR="00AA79DF" w:rsidRPr="0040253A">
        <w:t xml:space="preserve"> объектов ГРР снизилось до 52 в 2018 г.</w:t>
      </w:r>
    </w:p>
    <w:p w:rsidR="00F32425" w:rsidRPr="0040253A" w:rsidRDefault="00FF4120" w:rsidP="00F32425">
      <w:pPr>
        <w:spacing w:after="0" w:line="360" w:lineRule="auto"/>
        <w:ind w:firstLine="567"/>
        <w:contextualSpacing/>
        <w:jc w:val="both"/>
      </w:pPr>
      <w:r w:rsidRPr="0040253A">
        <w:t>С</w:t>
      </w:r>
      <w:r w:rsidR="0098461A" w:rsidRPr="0040253A">
        <w:t xml:space="preserve"> целью конкретизации объектов ГРР и сроков их выполнения принят </w:t>
      </w:r>
      <w:r w:rsidR="00F32425" w:rsidRPr="0040253A">
        <w:t xml:space="preserve">«Среднесрочный пообъектный план геологоразведочных работ за счет средств федерального бюджета до 2020 года». Ежегодно указанная программа </w:t>
      </w:r>
      <w:r w:rsidR="00DF4ABE" w:rsidRPr="0040253A">
        <w:t xml:space="preserve">корректируется </w:t>
      </w:r>
      <w:r w:rsidR="00F32425" w:rsidRPr="0040253A">
        <w:t>с учетом полученных в предшествующие годы результатов ГРР на нефть и газ, как за счет федерального бюджета, т</w:t>
      </w:r>
      <w:r w:rsidR="00DF4ABE" w:rsidRPr="0040253A">
        <w:t>ак и за счет недропользователей</w:t>
      </w:r>
      <w:r w:rsidR="00F32425" w:rsidRPr="0040253A">
        <w:t xml:space="preserve">. При этом все </w:t>
      </w:r>
      <w:r w:rsidR="00FC20AE" w:rsidRPr="0040253A">
        <w:t>планируемые</w:t>
      </w:r>
      <w:r w:rsidR="00F32425" w:rsidRPr="0040253A">
        <w:t xml:space="preserve"> основные направления ГРР за счет средств федерального бюджета сохраняются:</w:t>
      </w:r>
    </w:p>
    <w:p w:rsidR="00F32425" w:rsidRPr="0040253A" w:rsidRDefault="00F32425" w:rsidP="00F32425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</w:pPr>
      <w:r w:rsidRPr="0040253A">
        <w:t xml:space="preserve"> уточнение геологического строения и перспектив нефтегазоносности с локализацией части прогнозных ресурсов в слабоизученных отдаленных районах Восточной Сибири и Дальнего Востока, примыкающих к трассе нефтепровода ВСТО;</w:t>
      </w:r>
    </w:p>
    <w:p w:rsidR="00F32425" w:rsidRPr="0040253A" w:rsidRDefault="00F32425" w:rsidP="00F32425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</w:pPr>
      <w:r w:rsidRPr="0040253A">
        <w:t xml:space="preserve"> получение новых материалов по геологии и нефтегазоносности Западно-Сибирской НГП, включая ее окраинные части и нижние горизонты разреза осадочного чехла, с оценкой перспективности промышленного освоения нетрадиционных углеводородов;</w:t>
      </w:r>
    </w:p>
    <w:p w:rsidR="00F32425" w:rsidRPr="0040253A" w:rsidRDefault="00F32425" w:rsidP="00F32425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</w:pPr>
      <w:r w:rsidRPr="0040253A">
        <w:t xml:space="preserve"> уточнение геологического строения и оценка нефтегазового потенциала слабоизученных районов, участков и комплексов (в том числе нетрадиционных коллекторов) старых нефтегазодобывающих провинций Европейской части России: Волго-Уральской, Прикаспийской, Тимано-Печорской и Северо-Кавказской;</w:t>
      </w:r>
    </w:p>
    <w:p w:rsidR="00F32425" w:rsidRPr="0040253A" w:rsidRDefault="00F32425" w:rsidP="00F32425">
      <w:pPr>
        <w:spacing w:after="0" w:line="360" w:lineRule="auto"/>
        <w:ind w:firstLine="567"/>
        <w:contextualSpacing/>
        <w:jc w:val="both"/>
      </w:pPr>
      <w:r w:rsidRPr="0040253A">
        <w:t>– изучение геологического строения, выявление и уточнение положения нефтегазоперспективных структур на шельфах Российской Федерации и в транзитных зонах</w:t>
      </w:r>
      <w:r w:rsidR="00FC20AE" w:rsidRPr="0040253A">
        <w:t>.</w:t>
      </w:r>
    </w:p>
    <w:p w:rsidR="00427ADF" w:rsidRPr="0040253A" w:rsidRDefault="00AA79DF" w:rsidP="00AA79DF">
      <w:pPr>
        <w:spacing w:after="0" w:line="360" w:lineRule="auto"/>
        <w:ind w:hanging="1134"/>
        <w:contextualSpacing/>
        <w:jc w:val="both"/>
        <w:rPr>
          <w:b/>
        </w:rPr>
      </w:pPr>
      <w:r w:rsidRPr="0040253A">
        <w:rPr>
          <w:b/>
        </w:rPr>
        <w:t>Слайд №1</w:t>
      </w:r>
      <w:r w:rsidR="00715595" w:rsidRPr="0040253A">
        <w:rPr>
          <w:b/>
        </w:rPr>
        <w:t>4</w:t>
      </w:r>
      <w:r w:rsidRPr="0040253A">
        <w:rPr>
          <w:b/>
        </w:rPr>
        <w:t>– Основные показатели ГРР за счёт средств федерального бюджета в 2016-2018 гг.</w:t>
      </w:r>
    </w:p>
    <w:p w:rsidR="00131974" w:rsidRPr="0040253A" w:rsidRDefault="00131974" w:rsidP="00131974">
      <w:pPr>
        <w:spacing w:after="0" w:line="360" w:lineRule="auto"/>
        <w:ind w:firstLine="567"/>
        <w:contextualSpacing/>
        <w:jc w:val="both"/>
      </w:pPr>
      <w:r w:rsidRPr="0040253A">
        <w:t xml:space="preserve">Финансирование ГРР на нефть и газ за счёт средств федерального бюджета сохраняется на уровне 12 млрд. руб. при снижении объема </w:t>
      </w:r>
      <w:r w:rsidR="005A5DB4" w:rsidRPr="0040253A">
        <w:t>отрабатываемой сейсморазведки МОГТ 2</w:t>
      </w:r>
      <w:r w:rsidR="005A5DB4" w:rsidRPr="0040253A">
        <w:rPr>
          <w:lang w:val="en-US"/>
        </w:rPr>
        <w:t>D</w:t>
      </w:r>
      <w:r w:rsidR="005A5DB4" w:rsidRPr="0040253A">
        <w:t xml:space="preserve"> </w:t>
      </w:r>
      <w:r w:rsidR="005A5DB4" w:rsidRPr="0040253A">
        <w:rPr>
          <w:lang w:val="en-US"/>
        </w:rPr>
        <w:t>c</w:t>
      </w:r>
      <w:r w:rsidR="005A5DB4" w:rsidRPr="0040253A">
        <w:t xml:space="preserve"> 29</w:t>
      </w:r>
      <w:r w:rsidR="00041359" w:rsidRPr="0040253A">
        <w:t> </w:t>
      </w:r>
      <w:r w:rsidR="005A5DB4" w:rsidRPr="0040253A">
        <w:t>132</w:t>
      </w:r>
      <w:r w:rsidR="00041359" w:rsidRPr="0040253A">
        <w:t xml:space="preserve"> </w:t>
      </w:r>
      <w:r w:rsidR="005A5DB4" w:rsidRPr="0040253A">
        <w:t>пог. км в 2016 году до планируемых 14</w:t>
      </w:r>
      <w:r w:rsidR="00041359" w:rsidRPr="0040253A">
        <w:t> </w:t>
      </w:r>
      <w:r w:rsidR="005A5DB4" w:rsidRPr="0040253A">
        <w:t>550</w:t>
      </w:r>
      <w:r w:rsidR="00041359" w:rsidRPr="0040253A">
        <w:t xml:space="preserve"> </w:t>
      </w:r>
      <w:r w:rsidR="005A5DB4" w:rsidRPr="0040253A">
        <w:t xml:space="preserve">пог. км в </w:t>
      </w:r>
      <w:r w:rsidR="005A5DB4" w:rsidRPr="0040253A">
        <w:lastRenderedPageBreak/>
        <w:t xml:space="preserve">2018 году и роста объемов параметрического бурения с </w:t>
      </w:r>
      <w:r w:rsidR="00D5017C" w:rsidRPr="0040253A">
        <w:t>40</w:t>
      </w:r>
      <w:r w:rsidR="005A5DB4" w:rsidRPr="0040253A">
        <w:t>0 м в 2016 году до планируемых 11</w:t>
      </w:r>
      <w:r w:rsidR="00041359" w:rsidRPr="0040253A">
        <w:t> </w:t>
      </w:r>
      <w:r w:rsidR="005A5DB4" w:rsidRPr="0040253A">
        <w:t>400</w:t>
      </w:r>
      <w:r w:rsidR="00041359" w:rsidRPr="0040253A">
        <w:t xml:space="preserve"> </w:t>
      </w:r>
      <w:r w:rsidR="005A5DB4" w:rsidRPr="0040253A">
        <w:t>м в 2018 году.</w:t>
      </w:r>
    </w:p>
    <w:p w:rsidR="002F27A4" w:rsidRPr="0040253A" w:rsidRDefault="002F27A4" w:rsidP="002F27A4">
      <w:pPr>
        <w:spacing w:after="0" w:line="360" w:lineRule="auto"/>
        <w:ind w:hanging="1134"/>
        <w:contextualSpacing/>
        <w:jc w:val="both"/>
        <w:rPr>
          <w:b/>
        </w:rPr>
      </w:pPr>
      <w:r w:rsidRPr="0040253A">
        <w:rPr>
          <w:b/>
        </w:rPr>
        <w:t>Слайд №1</w:t>
      </w:r>
      <w:r w:rsidR="00715595" w:rsidRPr="0040253A">
        <w:rPr>
          <w:b/>
        </w:rPr>
        <w:t>5</w:t>
      </w:r>
      <w:r w:rsidRPr="0040253A">
        <w:rPr>
          <w:b/>
        </w:rPr>
        <w:t>– Выводы</w:t>
      </w:r>
      <w:r w:rsidR="004D32B4" w:rsidRPr="0040253A">
        <w:rPr>
          <w:b/>
        </w:rPr>
        <w:t>.</w:t>
      </w:r>
    </w:p>
    <w:p w:rsidR="007A5276" w:rsidRPr="0040253A" w:rsidRDefault="002F27A4" w:rsidP="007A5276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3A">
        <w:rPr>
          <w:rFonts w:ascii="Times New Roman" w:hAnsi="Times New Roman" w:cs="Times New Roman"/>
          <w:sz w:val="24"/>
          <w:szCs w:val="24"/>
        </w:rPr>
        <w:t>Затраты на проведение ГРР на нефть и газ в России за счет всех источников финансирования достиг</w:t>
      </w:r>
      <w:r w:rsidR="007A5276" w:rsidRPr="0040253A">
        <w:rPr>
          <w:rFonts w:ascii="Times New Roman" w:hAnsi="Times New Roman" w:cs="Times New Roman"/>
          <w:sz w:val="24"/>
          <w:szCs w:val="24"/>
        </w:rPr>
        <w:t>ли</w:t>
      </w:r>
      <w:r w:rsidRPr="0040253A">
        <w:rPr>
          <w:rFonts w:ascii="Times New Roman" w:hAnsi="Times New Roman" w:cs="Times New Roman"/>
          <w:sz w:val="24"/>
          <w:szCs w:val="24"/>
        </w:rPr>
        <w:t xml:space="preserve"> максимума в 2014 г. в сумме 325,3 млрд. руб., в последующие годы снижа</w:t>
      </w:r>
      <w:r w:rsidR="0003300E" w:rsidRPr="0040253A">
        <w:rPr>
          <w:rFonts w:ascii="Times New Roman" w:hAnsi="Times New Roman" w:cs="Times New Roman"/>
          <w:sz w:val="24"/>
          <w:szCs w:val="24"/>
        </w:rPr>
        <w:t>ются</w:t>
      </w:r>
      <w:r w:rsidRPr="0040253A">
        <w:rPr>
          <w:rFonts w:ascii="Times New Roman" w:hAnsi="Times New Roman" w:cs="Times New Roman"/>
          <w:sz w:val="24"/>
          <w:szCs w:val="24"/>
        </w:rPr>
        <w:t xml:space="preserve">: как за счет средств недропользователей с 309 млрд. руб. до 251–252 млрд. руб., так и за счет средств федерального бюджета с 16,3 млрд. руб. до 13,5–11,5 млрд. руб. </w:t>
      </w:r>
      <w:r w:rsidR="007A5276" w:rsidRPr="0040253A">
        <w:rPr>
          <w:rFonts w:ascii="Times New Roman" w:hAnsi="Times New Roman" w:cs="Times New Roman"/>
          <w:sz w:val="24"/>
          <w:szCs w:val="24"/>
        </w:rPr>
        <w:t>Также снижаются объемы параметрического и поискового бурения. Снижается и количество выполняемых объе</w:t>
      </w:r>
      <w:r w:rsidR="00F06942" w:rsidRPr="0040253A">
        <w:rPr>
          <w:rFonts w:ascii="Times New Roman" w:hAnsi="Times New Roman" w:cs="Times New Roman"/>
          <w:sz w:val="24"/>
          <w:szCs w:val="24"/>
        </w:rPr>
        <w:t>кт</w:t>
      </w:r>
      <w:r w:rsidR="007A5276" w:rsidRPr="0040253A">
        <w:rPr>
          <w:rFonts w:ascii="Times New Roman" w:hAnsi="Times New Roman" w:cs="Times New Roman"/>
          <w:sz w:val="24"/>
          <w:szCs w:val="24"/>
        </w:rPr>
        <w:t xml:space="preserve">ов ГРР Роснедрами. </w:t>
      </w:r>
      <w:r w:rsidR="00DF4ABE" w:rsidRPr="0040253A">
        <w:rPr>
          <w:rFonts w:ascii="Times New Roman" w:hAnsi="Times New Roman" w:cs="Times New Roman"/>
          <w:sz w:val="24"/>
          <w:szCs w:val="24"/>
        </w:rPr>
        <w:t>Однако, п</w:t>
      </w:r>
      <w:r w:rsidRPr="0040253A">
        <w:rPr>
          <w:rFonts w:ascii="Times New Roman" w:hAnsi="Times New Roman" w:cs="Times New Roman"/>
          <w:sz w:val="24"/>
          <w:szCs w:val="24"/>
        </w:rPr>
        <w:t>ланируемые затраты на ГРР недропользователей</w:t>
      </w:r>
      <w:r w:rsidR="00695853" w:rsidRPr="0040253A">
        <w:rPr>
          <w:rFonts w:ascii="Times New Roman" w:hAnsi="Times New Roman" w:cs="Times New Roman"/>
          <w:sz w:val="24"/>
          <w:szCs w:val="24"/>
        </w:rPr>
        <w:t xml:space="preserve"> на 2017 г. резко возраста</w:t>
      </w:r>
      <w:r w:rsidR="0003300E" w:rsidRPr="0040253A">
        <w:rPr>
          <w:rFonts w:ascii="Times New Roman" w:hAnsi="Times New Roman" w:cs="Times New Roman"/>
          <w:sz w:val="24"/>
          <w:szCs w:val="24"/>
        </w:rPr>
        <w:t>ют</w:t>
      </w:r>
      <w:r w:rsidR="00695853" w:rsidRPr="0040253A">
        <w:rPr>
          <w:rFonts w:ascii="Times New Roman" w:hAnsi="Times New Roman" w:cs="Times New Roman"/>
          <w:sz w:val="24"/>
          <w:szCs w:val="24"/>
        </w:rPr>
        <w:t xml:space="preserve">, до 361 млрд. руб. </w:t>
      </w:r>
    </w:p>
    <w:p w:rsidR="0003300E" w:rsidRPr="0040253A" w:rsidRDefault="0003300E" w:rsidP="007A5276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3A">
        <w:rPr>
          <w:rFonts w:ascii="Times New Roman" w:hAnsi="Times New Roman" w:cs="Times New Roman"/>
          <w:sz w:val="24"/>
          <w:szCs w:val="24"/>
        </w:rPr>
        <w:t xml:space="preserve">Снижаются в последние годы приросты запасов жидких и газообразных УВ при </w:t>
      </w:r>
      <w:r w:rsidR="007A5276" w:rsidRPr="0040253A">
        <w:rPr>
          <w:rFonts w:ascii="Times New Roman" w:hAnsi="Times New Roman" w:cs="Times New Roman"/>
          <w:sz w:val="24"/>
          <w:szCs w:val="24"/>
        </w:rPr>
        <w:t xml:space="preserve">фиксированной </w:t>
      </w:r>
      <w:r w:rsidRPr="0040253A">
        <w:rPr>
          <w:rFonts w:ascii="Times New Roman" w:hAnsi="Times New Roman" w:cs="Times New Roman"/>
          <w:sz w:val="24"/>
          <w:szCs w:val="24"/>
        </w:rPr>
        <w:t>негативной тенденции снижения ежегодного открытия новых месторождений, как с запасами нефти, так и газа.</w:t>
      </w:r>
    </w:p>
    <w:p w:rsidR="0003300E" w:rsidRPr="0040253A" w:rsidRDefault="0003300E" w:rsidP="007A5276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3A">
        <w:rPr>
          <w:rFonts w:ascii="Times New Roman" w:hAnsi="Times New Roman" w:cs="Times New Roman"/>
          <w:sz w:val="24"/>
          <w:szCs w:val="24"/>
        </w:rPr>
        <w:t>В последнее десятилетие количество проведенных аукционов остается стабильным (от 43 до 95), а доля состоявшихся аукционов выросла с 23,9% в 2012 г. до 61% в 2016 г.</w:t>
      </w:r>
    </w:p>
    <w:p w:rsidR="0003300E" w:rsidRPr="0040253A" w:rsidRDefault="0003300E" w:rsidP="007A5276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3A">
        <w:rPr>
          <w:rFonts w:ascii="Times New Roman" w:hAnsi="Times New Roman" w:cs="Times New Roman"/>
          <w:sz w:val="24"/>
          <w:szCs w:val="24"/>
        </w:rPr>
        <w:t xml:space="preserve">План отработки </w:t>
      </w:r>
      <w:r w:rsidR="007B3DB8" w:rsidRPr="0040253A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40253A">
        <w:rPr>
          <w:rFonts w:ascii="Times New Roman" w:hAnsi="Times New Roman" w:cs="Times New Roman"/>
          <w:sz w:val="24"/>
          <w:szCs w:val="24"/>
        </w:rPr>
        <w:t>ГРР на нефть и газ за счет средств федерального бюджета (52) в 2018 г. незначительно снижается в сравнении с количеством объектов ГРР в 2016 г. (54)</w:t>
      </w:r>
      <w:r w:rsidR="00CF5AE6" w:rsidRPr="0040253A">
        <w:rPr>
          <w:rFonts w:ascii="Times New Roman" w:hAnsi="Times New Roman" w:cs="Times New Roman"/>
          <w:sz w:val="24"/>
          <w:szCs w:val="24"/>
        </w:rPr>
        <w:t>. Снижаются объемы сейсморазведки 2</w:t>
      </w:r>
      <w:r w:rsidR="00CF5AE6" w:rsidRPr="004025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F5AE6" w:rsidRPr="0040253A">
        <w:rPr>
          <w:rFonts w:ascii="Times New Roman" w:hAnsi="Times New Roman" w:cs="Times New Roman"/>
          <w:sz w:val="24"/>
          <w:szCs w:val="24"/>
        </w:rPr>
        <w:t xml:space="preserve"> (на 15%) при росте объемов планируемого параметрического бурения (на 85%).</w:t>
      </w:r>
    </w:p>
    <w:p w:rsidR="007A5276" w:rsidRPr="0040253A" w:rsidRDefault="007A5276" w:rsidP="005A5DB4">
      <w:pPr>
        <w:spacing w:after="0" w:line="360" w:lineRule="auto"/>
        <w:ind w:firstLine="567"/>
        <w:contextualSpacing/>
        <w:jc w:val="center"/>
        <w:rPr>
          <w:b/>
        </w:rPr>
      </w:pPr>
    </w:p>
    <w:p w:rsidR="002E2B1A" w:rsidRPr="0040253A" w:rsidRDefault="002E2B1A" w:rsidP="002E2B1A">
      <w:pPr>
        <w:spacing w:after="0" w:line="360" w:lineRule="auto"/>
        <w:ind w:left="-1134"/>
        <w:contextualSpacing/>
        <w:rPr>
          <w:b/>
        </w:rPr>
      </w:pPr>
      <w:r w:rsidRPr="0040253A">
        <w:rPr>
          <w:b/>
        </w:rPr>
        <w:t>Слайд №1</w:t>
      </w:r>
      <w:r w:rsidR="00715595" w:rsidRPr="0040253A">
        <w:rPr>
          <w:b/>
        </w:rPr>
        <w:t>6</w:t>
      </w:r>
    </w:p>
    <w:p w:rsidR="005A5DB4" w:rsidRPr="005A5DB4" w:rsidRDefault="005A5DB4" w:rsidP="005A5DB4">
      <w:pPr>
        <w:spacing w:after="0" w:line="360" w:lineRule="auto"/>
        <w:ind w:firstLine="567"/>
        <w:contextualSpacing/>
        <w:jc w:val="center"/>
        <w:rPr>
          <w:b/>
        </w:rPr>
      </w:pPr>
      <w:r w:rsidRPr="0040253A">
        <w:rPr>
          <w:b/>
        </w:rPr>
        <w:t>СПАСИБО ЗА ВНИМАНИЕ!</w:t>
      </w:r>
    </w:p>
    <w:sectPr w:rsidR="005A5DB4" w:rsidRPr="005A5DB4" w:rsidSect="004D32B4">
      <w:headerReference w:type="default" r:id="rId8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A5" w:rsidRDefault="00D364A5" w:rsidP="00F71D7E">
      <w:pPr>
        <w:spacing w:after="0" w:line="240" w:lineRule="auto"/>
      </w:pPr>
      <w:r>
        <w:separator/>
      </w:r>
    </w:p>
  </w:endnote>
  <w:endnote w:type="continuationSeparator" w:id="0">
    <w:p w:rsidR="00D364A5" w:rsidRDefault="00D364A5" w:rsidP="00F7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A5" w:rsidRDefault="00D364A5" w:rsidP="00F71D7E">
      <w:pPr>
        <w:spacing w:after="0" w:line="240" w:lineRule="auto"/>
      </w:pPr>
      <w:r>
        <w:separator/>
      </w:r>
    </w:p>
  </w:footnote>
  <w:footnote w:type="continuationSeparator" w:id="0">
    <w:p w:rsidR="00D364A5" w:rsidRDefault="00D364A5" w:rsidP="00F7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0280"/>
      <w:docPartObj>
        <w:docPartGallery w:val="Page Numbers (Top of Page)"/>
        <w:docPartUnique/>
      </w:docPartObj>
    </w:sdtPr>
    <w:sdtEndPr/>
    <w:sdtContent>
      <w:p w:rsidR="00F71D7E" w:rsidRDefault="00F71D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AB3">
          <w:rPr>
            <w:noProof/>
          </w:rPr>
          <w:t>3</w:t>
        </w:r>
        <w:r>
          <w:fldChar w:fldCharType="end"/>
        </w:r>
      </w:p>
    </w:sdtContent>
  </w:sdt>
  <w:p w:rsidR="00F71D7E" w:rsidRDefault="00F71D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13BE"/>
    <w:multiLevelType w:val="hybridMultilevel"/>
    <w:tmpl w:val="0F7C4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C07D32"/>
    <w:multiLevelType w:val="hybridMultilevel"/>
    <w:tmpl w:val="5A60AD06"/>
    <w:lvl w:ilvl="0" w:tplc="1C9038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1FF"/>
    <w:multiLevelType w:val="hybridMultilevel"/>
    <w:tmpl w:val="E2DA4570"/>
    <w:lvl w:ilvl="0" w:tplc="524A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0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6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0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2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A9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60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8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DA7B60"/>
    <w:multiLevelType w:val="hybridMultilevel"/>
    <w:tmpl w:val="D258F592"/>
    <w:lvl w:ilvl="0" w:tplc="C9382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382081"/>
    <w:multiLevelType w:val="hybridMultilevel"/>
    <w:tmpl w:val="6DB412FC"/>
    <w:lvl w:ilvl="0" w:tplc="C4244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6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87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6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AA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B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4F"/>
    <w:rsid w:val="00013D5F"/>
    <w:rsid w:val="0002431A"/>
    <w:rsid w:val="0003300E"/>
    <w:rsid w:val="00033975"/>
    <w:rsid w:val="0004083F"/>
    <w:rsid w:val="00041359"/>
    <w:rsid w:val="00061C6F"/>
    <w:rsid w:val="00077DD0"/>
    <w:rsid w:val="00083EF6"/>
    <w:rsid w:val="00084E79"/>
    <w:rsid w:val="000851E0"/>
    <w:rsid w:val="000A174F"/>
    <w:rsid w:val="000A21EB"/>
    <w:rsid w:val="000D3D74"/>
    <w:rsid w:val="000E0816"/>
    <w:rsid w:val="000E0FCD"/>
    <w:rsid w:val="00131974"/>
    <w:rsid w:val="0014614F"/>
    <w:rsid w:val="001910D7"/>
    <w:rsid w:val="00191509"/>
    <w:rsid w:val="001F4E0B"/>
    <w:rsid w:val="001F57C0"/>
    <w:rsid w:val="00205FA6"/>
    <w:rsid w:val="002169EE"/>
    <w:rsid w:val="0023406C"/>
    <w:rsid w:val="00240421"/>
    <w:rsid w:val="002534A6"/>
    <w:rsid w:val="002907A1"/>
    <w:rsid w:val="002C036E"/>
    <w:rsid w:val="002C574E"/>
    <w:rsid w:val="002E2B1A"/>
    <w:rsid w:val="002F1D77"/>
    <w:rsid w:val="002F1E6A"/>
    <w:rsid w:val="002F27A4"/>
    <w:rsid w:val="00304451"/>
    <w:rsid w:val="0032589A"/>
    <w:rsid w:val="00331134"/>
    <w:rsid w:val="00332258"/>
    <w:rsid w:val="003352B1"/>
    <w:rsid w:val="00346807"/>
    <w:rsid w:val="00354E29"/>
    <w:rsid w:val="00356867"/>
    <w:rsid w:val="003604AA"/>
    <w:rsid w:val="00367BD4"/>
    <w:rsid w:val="003723F0"/>
    <w:rsid w:val="003A28F5"/>
    <w:rsid w:val="003A5EC6"/>
    <w:rsid w:val="003D606F"/>
    <w:rsid w:val="003E5D4F"/>
    <w:rsid w:val="003F7A90"/>
    <w:rsid w:val="0040253A"/>
    <w:rsid w:val="00427ADF"/>
    <w:rsid w:val="004313CC"/>
    <w:rsid w:val="00457AF3"/>
    <w:rsid w:val="004751A4"/>
    <w:rsid w:val="00484D25"/>
    <w:rsid w:val="00487694"/>
    <w:rsid w:val="004A6F0C"/>
    <w:rsid w:val="004B489B"/>
    <w:rsid w:val="004B6480"/>
    <w:rsid w:val="004C7BA2"/>
    <w:rsid w:val="004D32B4"/>
    <w:rsid w:val="004E40E2"/>
    <w:rsid w:val="0051630B"/>
    <w:rsid w:val="005326D2"/>
    <w:rsid w:val="00534253"/>
    <w:rsid w:val="00535EAE"/>
    <w:rsid w:val="00545939"/>
    <w:rsid w:val="00592CBF"/>
    <w:rsid w:val="005A5DB4"/>
    <w:rsid w:val="005A5FBF"/>
    <w:rsid w:val="005B1EB2"/>
    <w:rsid w:val="005C1243"/>
    <w:rsid w:val="005D5B6E"/>
    <w:rsid w:val="005E6B66"/>
    <w:rsid w:val="006030FB"/>
    <w:rsid w:val="00603C53"/>
    <w:rsid w:val="0061064E"/>
    <w:rsid w:val="006153CA"/>
    <w:rsid w:val="00621606"/>
    <w:rsid w:val="00635831"/>
    <w:rsid w:val="006442B6"/>
    <w:rsid w:val="00653A8A"/>
    <w:rsid w:val="00662869"/>
    <w:rsid w:val="00682BB2"/>
    <w:rsid w:val="00695853"/>
    <w:rsid w:val="006B5BC6"/>
    <w:rsid w:val="006E3193"/>
    <w:rsid w:val="006F56E8"/>
    <w:rsid w:val="00715595"/>
    <w:rsid w:val="0071673C"/>
    <w:rsid w:val="00726B25"/>
    <w:rsid w:val="00750D90"/>
    <w:rsid w:val="00761AE3"/>
    <w:rsid w:val="007724BD"/>
    <w:rsid w:val="007A5276"/>
    <w:rsid w:val="007B3DB8"/>
    <w:rsid w:val="007B73B4"/>
    <w:rsid w:val="007C61E0"/>
    <w:rsid w:val="007D6495"/>
    <w:rsid w:val="007F5D43"/>
    <w:rsid w:val="00802138"/>
    <w:rsid w:val="00804332"/>
    <w:rsid w:val="00827122"/>
    <w:rsid w:val="00831285"/>
    <w:rsid w:val="00841BFE"/>
    <w:rsid w:val="00846DA2"/>
    <w:rsid w:val="008503E5"/>
    <w:rsid w:val="008509DD"/>
    <w:rsid w:val="00874E85"/>
    <w:rsid w:val="00884CCC"/>
    <w:rsid w:val="008A7E93"/>
    <w:rsid w:val="008C40D6"/>
    <w:rsid w:val="008C7770"/>
    <w:rsid w:val="008F155B"/>
    <w:rsid w:val="00904C1F"/>
    <w:rsid w:val="00907CFD"/>
    <w:rsid w:val="009519EA"/>
    <w:rsid w:val="00972405"/>
    <w:rsid w:val="0098461A"/>
    <w:rsid w:val="009936E4"/>
    <w:rsid w:val="009A1CF5"/>
    <w:rsid w:val="009C4014"/>
    <w:rsid w:val="009D7F40"/>
    <w:rsid w:val="009E2767"/>
    <w:rsid w:val="009E6BEC"/>
    <w:rsid w:val="00A068C8"/>
    <w:rsid w:val="00A11105"/>
    <w:rsid w:val="00A14407"/>
    <w:rsid w:val="00A21CE5"/>
    <w:rsid w:val="00A31AD1"/>
    <w:rsid w:val="00A81CF4"/>
    <w:rsid w:val="00A92A1E"/>
    <w:rsid w:val="00AA76B9"/>
    <w:rsid w:val="00AA79DF"/>
    <w:rsid w:val="00AD1CC0"/>
    <w:rsid w:val="00AD2BB5"/>
    <w:rsid w:val="00BA311C"/>
    <w:rsid w:val="00BA5387"/>
    <w:rsid w:val="00BB1D0C"/>
    <w:rsid w:val="00BD7FDE"/>
    <w:rsid w:val="00C30B62"/>
    <w:rsid w:val="00C36E4F"/>
    <w:rsid w:val="00C4481C"/>
    <w:rsid w:val="00C76E5E"/>
    <w:rsid w:val="00C81510"/>
    <w:rsid w:val="00C82370"/>
    <w:rsid w:val="00C83ACA"/>
    <w:rsid w:val="00C86C0C"/>
    <w:rsid w:val="00CD5AB2"/>
    <w:rsid w:val="00CD6415"/>
    <w:rsid w:val="00CF36F7"/>
    <w:rsid w:val="00CF5AE6"/>
    <w:rsid w:val="00CF66CB"/>
    <w:rsid w:val="00D16375"/>
    <w:rsid w:val="00D22778"/>
    <w:rsid w:val="00D364A5"/>
    <w:rsid w:val="00D42BD3"/>
    <w:rsid w:val="00D440D0"/>
    <w:rsid w:val="00D5017C"/>
    <w:rsid w:val="00D64C1D"/>
    <w:rsid w:val="00D679F8"/>
    <w:rsid w:val="00D70F2E"/>
    <w:rsid w:val="00D809B7"/>
    <w:rsid w:val="00D83AB3"/>
    <w:rsid w:val="00D93795"/>
    <w:rsid w:val="00DA2F90"/>
    <w:rsid w:val="00DB4E80"/>
    <w:rsid w:val="00DD6A2A"/>
    <w:rsid w:val="00DF4ABE"/>
    <w:rsid w:val="00E05153"/>
    <w:rsid w:val="00E138CC"/>
    <w:rsid w:val="00E178E2"/>
    <w:rsid w:val="00E21C88"/>
    <w:rsid w:val="00E2312D"/>
    <w:rsid w:val="00E26CFE"/>
    <w:rsid w:val="00E43045"/>
    <w:rsid w:val="00E530E8"/>
    <w:rsid w:val="00E54008"/>
    <w:rsid w:val="00E6653D"/>
    <w:rsid w:val="00E716ED"/>
    <w:rsid w:val="00E864B7"/>
    <w:rsid w:val="00EB5EA2"/>
    <w:rsid w:val="00EC1608"/>
    <w:rsid w:val="00EC49F2"/>
    <w:rsid w:val="00ED5830"/>
    <w:rsid w:val="00EE3C5D"/>
    <w:rsid w:val="00EE4E49"/>
    <w:rsid w:val="00F02972"/>
    <w:rsid w:val="00F038AB"/>
    <w:rsid w:val="00F06942"/>
    <w:rsid w:val="00F138AA"/>
    <w:rsid w:val="00F249D5"/>
    <w:rsid w:val="00F32425"/>
    <w:rsid w:val="00F42B25"/>
    <w:rsid w:val="00F50D9D"/>
    <w:rsid w:val="00F71D7E"/>
    <w:rsid w:val="00FB2429"/>
    <w:rsid w:val="00FB5498"/>
    <w:rsid w:val="00FC20AE"/>
    <w:rsid w:val="00FD5C00"/>
    <w:rsid w:val="00FF4120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9E26E-CE2F-49F0-BA12-1DD90B1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D7E"/>
  </w:style>
  <w:style w:type="paragraph" w:styleId="a5">
    <w:name w:val="footer"/>
    <w:basedOn w:val="a"/>
    <w:link w:val="a6"/>
    <w:uiPriority w:val="99"/>
    <w:unhideWhenUsed/>
    <w:rsid w:val="00F7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D7E"/>
  </w:style>
  <w:style w:type="paragraph" w:styleId="a7">
    <w:name w:val="Balloon Text"/>
    <w:basedOn w:val="a"/>
    <w:link w:val="a8"/>
    <w:uiPriority w:val="99"/>
    <w:semiHidden/>
    <w:unhideWhenUsed/>
    <w:rsid w:val="00BA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13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1319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19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19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19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1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B0B8-9879-4B50-A156-ABDE5D6D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Надежда Георгиевна</dc:creator>
  <cp:lastModifiedBy>Шиманский Сергей Владимирович</cp:lastModifiedBy>
  <cp:revision>52</cp:revision>
  <cp:lastPrinted>2017-11-22T12:57:00Z</cp:lastPrinted>
  <dcterms:created xsi:type="dcterms:W3CDTF">2017-10-30T11:08:00Z</dcterms:created>
  <dcterms:modified xsi:type="dcterms:W3CDTF">2017-11-29T07:24:00Z</dcterms:modified>
</cp:coreProperties>
</file>