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417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ПРИРОДНЫХ РЕСУРСОВ И ЭКОЛОГИИ </w:t>
      </w:r>
      <w:r w:rsidRPr="00832417">
        <w:rPr>
          <w:rFonts w:ascii="Times New Roman" w:hAnsi="Times New Roman"/>
          <w:b/>
          <w:sz w:val="28"/>
          <w:szCs w:val="28"/>
          <w:lang w:eastAsia="ru-RU"/>
        </w:rPr>
        <w:br/>
        <w:t>РОССИЙСКОЙ ФЕДЕРАЦИИ</w:t>
      </w: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832417">
        <w:rPr>
          <w:rFonts w:ascii="Times New Roman" w:hAnsi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32"/>
          <w:lang w:eastAsia="ru-RU"/>
        </w:rPr>
      </w:pPr>
      <w:r>
        <w:rPr>
          <w:rFonts w:ascii="Times New Roman" w:hAnsi="Times New Roman"/>
          <w:b/>
          <w:spacing w:val="60"/>
          <w:sz w:val="24"/>
          <w:szCs w:val="32"/>
          <w:lang w:eastAsia="ru-RU"/>
        </w:rPr>
        <w:t>ПОСТАНОВЛЕНИЕ КОЛЛЕГИИ</w:t>
      </w:r>
    </w:p>
    <w:p w:rsidR="007F3BA3" w:rsidRDefault="003A23F6" w:rsidP="007F3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0FB3C1" wp14:editId="1E6FD5CC">
            <wp:simplePos x="0" y="0"/>
            <wp:positionH relativeFrom="column">
              <wp:posOffset>4053840</wp:posOffset>
            </wp:positionH>
            <wp:positionV relativeFrom="paragraph">
              <wp:posOffset>87630</wp:posOffset>
            </wp:positionV>
            <wp:extent cx="2081530" cy="651510"/>
            <wp:effectExtent l="0" t="0" r="0" b="0"/>
            <wp:wrapTight wrapText="bothSides">
              <wp:wrapPolygon edited="0">
                <wp:start x="0" y="0"/>
                <wp:lineTo x="0" y="20842"/>
                <wp:lineTo x="21350" y="20842"/>
                <wp:lineTo x="213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BA3" w:rsidRPr="00832417" w:rsidRDefault="007F3BA3" w:rsidP="007F3BA3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5E53">
        <w:rPr>
          <w:rFonts w:ascii="Times New Roman" w:hAnsi="Times New Roman"/>
          <w:b/>
          <w:i/>
          <w:sz w:val="28"/>
          <w:szCs w:val="28"/>
          <w:lang w:eastAsia="ru-RU"/>
        </w:rPr>
        <w:t xml:space="preserve">6 апреля  2017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г.                                                                        </w:t>
      </w: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23F6" w:rsidRDefault="003A23F6" w:rsidP="007F3BA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г. Москва</w:t>
      </w: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3BA3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32417">
        <w:rPr>
          <w:rFonts w:ascii="Times New Roman" w:hAnsi="Times New Roman"/>
          <w:bCs/>
          <w:sz w:val="28"/>
          <w:szCs w:val="28"/>
          <w:lang w:eastAsia="ru-RU"/>
        </w:rPr>
        <w:t>Председательствовал:</w:t>
      </w:r>
      <w:r w:rsidRPr="00832417">
        <w:rPr>
          <w:rFonts w:ascii="Times New Roman" w:hAnsi="Times New Roman"/>
          <w:sz w:val="28"/>
          <w:szCs w:val="28"/>
          <w:lang w:eastAsia="ru-RU"/>
        </w:rPr>
        <w:t xml:space="preserve">  заместитель Министра природных ресурсов и экологии Российской </w:t>
      </w:r>
      <w:proofErr w:type="gramStart"/>
      <w:r w:rsidRPr="00832417">
        <w:rPr>
          <w:rFonts w:ascii="Times New Roman" w:hAnsi="Times New Roman"/>
          <w:sz w:val="28"/>
          <w:szCs w:val="28"/>
          <w:lang w:eastAsia="ru-RU"/>
        </w:rPr>
        <w:t>Федерации-руководитель</w:t>
      </w:r>
      <w:proofErr w:type="gramEnd"/>
      <w:r w:rsidRPr="00832417">
        <w:rPr>
          <w:rFonts w:ascii="Times New Roman" w:hAnsi="Times New Roman"/>
          <w:sz w:val="28"/>
          <w:szCs w:val="28"/>
          <w:lang w:eastAsia="ru-RU"/>
        </w:rPr>
        <w:t xml:space="preserve"> Федерального агентства по недропользованию </w:t>
      </w: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832417">
        <w:rPr>
          <w:rFonts w:ascii="Times New Roman" w:hAnsi="Times New Roman"/>
          <w:sz w:val="28"/>
          <w:szCs w:val="28"/>
          <w:lang w:eastAsia="ru-RU"/>
        </w:rPr>
        <w:t>Е.А. Киселев</w:t>
      </w: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32417">
        <w:rPr>
          <w:rFonts w:ascii="Times New Roman" w:hAnsi="Times New Roman"/>
          <w:bCs/>
          <w:sz w:val="28"/>
          <w:szCs w:val="28"/>
          <w:lang w:eastAsia="ru-RU"/>
        </w:rPr>
        <w:t>Присутствовали:</w:t>
      </w: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32417">
        <w:rPr>
          <w:rFonts w:ascii="Times New Roman" w:hAnsi="Times New Roman"/>
          <w:sz w:val="28"/>
          <w:szCs w:val="28"/>
          <w:lang w:eastAsia="ru-RU"/>
        </w:rPr>
        <w:t xml:space="preserve">Ответственный секретарь Коллегии: О.М. Карасева </w:t>
      </w: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Члены коллегии:          </w:t>
      </w:r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Аксенов С.А., Каспаров О.С., Морозов А.Ф., Айвазова М.А., Леньчук Д.В, Лыгин А.М., Хлебников П.А., Руднев А.В., Малютин Е.И., Распопов Ю.В., </w:t>
      </w:r>
      <w:proofErr w:type="spell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Вертий</w:t>
      </w:r>
      <w:proofErr w:type="spellEnd"/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 С.Н., </w:t>
      </w:r>
      <w:proofErr w:type="spell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Хамидуллин</w:t>
      </w:r>
      <w:proofErr w:type="spellEnd"/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Рыльков</w:t>
      </w:r>
      <w:proofErr w:type="spellEnd"/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 С.А., </w:t>
      </w:r>
      <w:proofErr w:type="spell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Неволько</w:t>
      </w:r>
      <w:proofErr w:type="spellEnd"/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 А.И., Бойко А.В., Савицкий М.Ф., </w:t>
      </w:r>
      <w:proofErr w:type="spell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Филипцов</w:t>
      </w:r>
      <w:proofErr w:type="spellEnd"/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 Ю.А., </w:t>
      </w:r>
      <w:proofErr w:type="spell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Лацановский</w:t>
      </w:r>
      <w:proofErr w:type="spellEnd"/>
      <w:r w:rsidRPr="00832417">
        <w:rPr>
          <w:rFonts w:ascii="Times New Roman" w:hAnsi="Times New Roman"/>
          <w:bCs/>
          <w:sz w:val="28"/>
          <w:szCs w:val="28"/>
          <w:lang w:eastAsia="ru-RU"/>
        </w:rPr>
        <w:t xml:space="preserve"> И.А.</w:t>
      </w: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3119" w:hanging="311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2417">
        <w:rPr>
          <w:rFonts w:ascii="Times New Roman" w:hAnsi="Times New Roman"/>
          <w:bCs/>
          <w:sz w:val="28"/>
          <w:szCs w:val="28"/>
          <w:lang w:eastAsia="ru-RU"/>
        </w:rPr>
        <w:t>Приглашенные</w:t>
      </w:r>
      <w:proofErr w:type="gramEnd"/>
      <w:r w:rsidRPr="00832417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832417">
        <w:rPr>
          <w:rFonts w:ascii="Times New Roman" w:hAnsi="Times New Roman"/>
          <w:sz w:val="28"/>
          <w:szCs w:val="28"/>
          <w:lang w:eastAsia="ru-RU"/>
        </w:rPr>
        <w:t xml:space="preserve">                  302 человека</w:t>
      </w:r>
    </w:p>
    <w:p w:rsidR="007F3BA3" w:rsidRPr="00832417" w:rsidRDefault="007F3BA3" w:rsidP="007F3BA3">
      <w:pPr>
        <w:widowControl w:val="0"/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BA3" w:rsidRDefault="007F3BA3" w:rsidP="007F3B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4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F3BA3" w:rsidRDefault="007F3BA3" w:rsidP="007F3B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4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Итоги работы Федерального агентства по недропользованию </w:t>
      </w:r>
    </w:p>
    <w:p w:rsidR="007F3BA3" w:rsidRDefault="007F3BA3" w:rsidP="007F3B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4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2016 г. и планы на 2017 год</w:t>
      </w:r>
    </w:p>
    <w:p w:rsidR="007F3BA3" w:rsidRPr="0063338F" w:rsidRDefault="007F3BA3" w:rsidP="007F3B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(С.Е. Донской, Е.А. Киселев, Р.С.</w:t>
      </w:r>
      <w:r w:rsidRPr="0063338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Панов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А.И.</w:t>
      </w:r>
      <w:r w:rsidRPr="0063338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Варламов, О.В.</w:t>
      </w:r>
      <w:r w:rsidRPr="0063338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Петров,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Машковцев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Г.А., Е.Р.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Надыршин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, Чирков В.Л., В.А. Шашель) </w:t>
      </w:r>
    </w:p>
    <w:p w:rsidR="00AB6EAD" w:rsidRPr="00AB6EAD" w:rsidRDefault="00AB6EAD" w:rsidP="00AB6EAD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EA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Заслушав доклад </w:t>
      </w:r>
      <w:r w:rsidRPr="00AB6EAD">
        <w:rPr>
          <w:rFonts w:ascii="Times New Roman" w:hAnsi="Times New Roman"/>
          <w:sz w:val="28"/>
          <w:szCs w:val="28"/>
          <w:lang w:eastAsia="ru-RU"/>
        </w:rPr>
        <w:t xml:space="preserve">заместителя Министра природных ресурсов и экологии Российской Федерации-руководителя Федерального агентства по недропользованию Е.А. Киселева, мнения и оценки выступающих 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6EAD">
        <w:rPr>
          <w:rFonts w:ascii="Times New Roman" w:hAnsi="Times New Roman"/>
          <w:b/>
          <w:bCs/>
          <w:sz w:val="28"/>
          <w:szCs w:val="28"/>
          <w:lang w:eastAsia="ru-RU"/>
        </w:rPr>
        <w:t>Коллегия постановляет: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D">
        <w:rPr>
          <w:rFonts w:ascii="Times New Roman" w:hAnsi="Times New Roman"/>
          <w:sz w:val="28"/>
          <w:szCs w:val="28"/>
          <w:lang w:eastAsia="ru-RU"/>
        </w:rPr>
        <w:t xml:space="preserve">1. Одобрить итоговый доклад заместителя Министра природных ресурсов и экологии Российской Федерации-руководителя Федерального агентства по недропользованию Е.А. Киселева об итогах работы Федерального агентства по недропользованию в 2016 году и планах на 2017 год. Отметить, что основные задачи в сфере деятельности Агентства, предусмотренные документами стратегического планирования в отчетный период, выполнены. 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D">
        <w:rPr>
          <w:rFonts w:ascii="Times New Roman" w:hAnsi="Times New Roman"/>
          <w:sz w:val="28"/>
          <w:szCs w:val="28"/>
          <w:lang w:eastAsia="ru-RU"/>
        </w:rPr>
        <w:t>2. Одобрить деятельность Федерального агентства по недропользованию в 2016 году.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D">
        <w:rPr>
          <w:rFonts w:ascii="Times New Roman" w:hAnsi="Times New Roman"/>
          <w:sz w:val="28"/>
          <w:szCs w:val="28"/>
          <w:lang w:eastAsia="ru-RU"/>
        </w:rPr>
        <w:t xml:space="preserve">3. Ключевыми целями и задачами Роснедр на </w:t>
      </w:r>
      <w:r w:rsidRPr="00AB6E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2017</w:t>
      </w:r>
      <w:r w:rsidRPr="00AB6EAD">
        <w:rPr>
          <w:rFonts w:ascii="Times New Roman" w:hAnsi="Times New Roman"/>
          <w:sz w:val="28"/>
          <w:szCs w:val="28"/>
          <w:lang w:eastAsia="ru-RU"/>
        </w:rPr>
        <w:t xml:space="preserve"> год считать: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D">
        <w:rPr>
          <w:rFonts w:ascii="Times New Roman" w:hAnsi="Times New Roman"/>
          <w:sz w:val="28"/>
          <w:szCs w:val="28"/>
          <w:lang w:eastAsia="ru-RU"/>
        </w:rPr>
        <w:t>3.1. реализацию поручений Президента Российской Федерации и Правительства Российской Федерации в сфере недропользования.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D">
        <w:rPr>
          <w:rFonts w:ascii="Times New Roman" w:hAnsi="Times New Roman"/>
          <w:sz w:val="28"/>
          <w:szCs w:val="28"/>
          <w:lang w:eastAsia="ru-RU"/>
        </w:rPr>
        <w:t>Ответственные: заместители руководителя Роснедр.</w:t>
      </w:r>
    </w:p>
    <w:p w:rsidR="00AB6EAD" w:rsidRPr="00AB6EAD" w:rsidRDefault="00AB6EAD" w:rsidP="00AB6EAD">
      <w:pPr>
        <w:shd w:val="clear" w:color="auto" w:fill="FFFFFF"/>
        <w:tabs>
          <w:tab w:val="left" w:pos="907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3.2. 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>реализацию мероприятий Подпрограммы 1. «Воспроизводство минерально-сырьевой базы, геологическое изучение недр» государственной программы «Воспроизводство и использование природных ресурсов».</w:t>
      </w:r>
    </w:p>
    <w:p w:rsidR="00AB6EAD" w:rsidRPr="00AB6EAD" w:rsidRDefault="00AB6EAD" w:rsidP="00AB6EAD">
      <w:pPr>
        <w:shd w:val="clear" w:color="auto" w:fill="FFFFFF"/>
        <w:tabs>
          <w:tab w:val="left" w:pos="907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Ответственные: заместители руководителя Роснедр.</w:t>
      </w:r>
    </w:p>
    <w:p w:rsidR="00AB6EAD" w:rsidRPr="00AB6EAD" w:rsidRDefault="00AB6EAD" w:rsidP="00AB6EAD">
      <w:pPr>
        <w:shd w:val="clear" w:color="auto" w:fill="FFFFFF"/>
        <w:tabs>
          <w:tab w:val="left" w:pos="1066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3.3. разработку Стратегии развития минерально-сырьевой базы Российской Федерации на период до 2030 года.</w:t>
      </w:r>
    </w:p>
    <w:p w:rsidR="00AB6EAD" w:rsidRPr="00AB6EAD" w:rsidRDefault="00AB6EAD" w:rsidP="00AB6EAD">
      <w:pPr>
        <w:shd w:val="clear" w:color="auto" w:fill="FFFFFF"/>
        <w:tabs>
          <w:tab w:val="left" w:pos="1066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С.А. Аксенов.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3.4 повышение эффективности управления распределенным и нераспределенным фондом недр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3.4.1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ab/>
        <w:t>анализ правоприменительной практики при реализации требований Приказа Минприроды России от 10.11.2016 № 583 с целью определения проблемных вопросов и путей их решения.</w:t>
      </w:r>
    </w:p>
    <w:p w:rsidR="00AB6EAD" w:rsidRPr="00AB6EAD" w:rsidRDefault="00AB6EAD" w:rsidP="00AB6EAD">
      <w:pPr>
        <w:shd w:val="clear" w:color="auto" w:fill="FFFFFF"/>
        <w:tabs>
          <w:tab w:val="left" w:pos="1066"/>
        </w:tabs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С.А. Аксенов.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3.4.2.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создание благоприятных условий для привлечения внебюджетных инвестиций и сокращения бюджетных ассигнований на проведение геологоразведочных работ ранних стадий путем повышения качества согласования проектов на проведение ГРР и взаимодействия с 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лицензирующими органами.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Ответственные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по сферам компетенции</w:t>
      </w: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заместители руководителя С.А. Аксенов, О.С. Каспаров, А.Ф. Морозов.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3.4.3.</w:t>
      </w: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>создание и совершенствование систем информационного учета объектов нераспределенного и распределенного фонда недр.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Ответственные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по сферам компетенции</w:t>
      </w: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заместители руководителя С.А. Аксенов, О.С. Каспаров, А.Ф. Морозов.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3.5. активное содействие инициативам недропользователей по снятию административных барьеров.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Ответственные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по сферам компетенции</w:t>
      </w: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заместители руководителя С.А. Аксенов, О.С. Каспаров 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3.6. создание эффективной системы мониторинга показателей состояния минерально-сырьевой базы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Ответственные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по сферам компетенции</w:t>
      </w: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: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заместители руководителя С.А. Аксенов, О.С. Каспаров </w:t>
      </w:r>
    </w:p>
    <w:p w:rsidR="00AB6EAD" w:rsidRPr="00AB6EAD" w:rsidRDefault="00AB6EAD" w:rsidP="00AB6EAD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3.7. совершенствование государственного геологического изучения недр в части работ общегеологического и специального назначения за счет средств федерального бюджета: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ускорение концентрации среднемасштабных геолого-съемочных работ на Дальнем Востоке и в Забайкалье с учетом инвестиционного спроса и возможности государственно-частного партнерства;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продолжение работ по обоснованию внешней границы континентального шельфа Российской Федерации в Северном Ледовитом океане, направленных на актуализацию российской заявки в Комиссию при ООН по определению границ континентального шельфа в Арктике;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обеспечение прироста геологической изученности территории России масштаба 1:1000000 и 1:200000 в объемах, предусмотренных Государственной программой;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работы по реализации мероприятий 53-56 Федеральной целевой программы «Охрана озера Байкал и социально-экономическое развитие Байкальской природной территории на 2012-2020 годы»;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выполнение необходимых работ по обеспечению геополитических интересов Российской Федерации в Антарктике и на территории архипелага Шпицберген;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уровня изученности опасных геологических процессов и 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процессов загрязнения подземных вод при ведении государственного мониторинга состояния недр в пунктах государственной опорной сети и полигонах федерального значения с привлечением данных локальных наблюдательных сетей недропользователей;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формирование единого фонда геологической информации как федеральной государственной информационной системы.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Роснедр А.Ф. Морозов</w:t>
      </w:r>
    </w:p>
    <w:p w:rsidR="00AB6EAD" w:rsidRPr="00AB6EAD" w:rsidRDefault="00AB6EAD" w:rsidP="00AB6EA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3.8. совершенствование государственного геологического изучения недр в части работ по воспроизводству минерально-сырьевой базы углеводородного сырья за счет средств федерального бюджета: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уточнение геологического строения и перспектив нефтегазоносности с локализацией части прогнозных ресурсов в слабоизученных отдаленных районах Восточной Сибири и Дальнего Востока, примыкающих к трассе нефтепровода ВСТО, а также других планируемых </w:t>
      </w:r>
      <w:proofErr w:type="spellStart"/>
      <w:r w:rsidRPr="00AB6EAD">
        <w:rPr>
          <w:rFonts w:ascii="Times New Roman" w:hAnsi="Times New Roman"/>
          <w:color w:val="000000" w:themeColor="text1"/>
          <w:sz w:val="28"/>
          <w:szCs w:val="28"/>
        </w:rPr>
        <w:t>нефте</w:t>
      </w:r>
      <w:proofErr w:type="spellEnd"/>
      <w:r w:rsidRPr="00AB6EAD">
        <w:rPr>
          <w:rFonts w:ascii="Times New Roman" w:hAnsi="Times New Roman"/>
          <w:color w:val="000000" w:themeColor="text1"/>
          <w:sz w:val="28"/>
          <w:szCs w:val="28"/>
        </w:rPr>
        <w:t>- и газопроводов;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получение новых материалов по геологии и нефтегазоносности Западно-Сибирской НГП, включая ее окраинные части и нижние горизонты разреза осадочного чехла;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уточнение геологического строения и оценка нефтегазового потенциала слабоизученных районов, участков и комплексов (в том числе нетрадиционных коллекторов) старых НГП Европейской части России: </w:t>
      </w:r>
      <w:proofErr w:type="gramStart"/>
      <w:r w:rsidRPr="00AB6EAD">
        <w:rPr>
          <w:rFonts w:ascii="Times New Roman" w:hAnsi="Times New Roman"/>
          <w:color w:val="000000" w:themeColor="text1"/>
          <w:sz w:val="28"/>
          <w:szCs w:val="28"/>
        </w:rPr>
        <w:t>Волго-Уральской</w:t>
      </w:r>
      <w:proofErr w:type="gramEnd"/>
      <w:r w:rsidRPr="00AB6EAD">
        <w:rPr>
          <w:rFonts w:ascii="Times New Roman" w:hAnsi="Times New Roman"/>
          <w:color w:val="000000" w:themeColor="text1"/>
          <w:sz w:val="28"/>
          <w:szCs w:val="28"/>
        </w:rPr>
        <w:t>, Прикаспийской, Тимано-Печорской и Северо-Кавказской;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начало практического осуществления создания технологического полигона «</w:t>
      </w:r>
      <w:proofErr w:type="spellStart"/>
      <w:r w:rsidRPr="00AB6EAD">
        <w:rPr>
          <w:rFonts w:ascii="Times New Roman" w:hAnsi="Times New Roman"/>
          <w:color w:val="000000" w:themeColor="text1"/>
          <w:sz w:val="28"/>
          <w:szCs w:val="28"/>
        </w:rPr>
        <w:t>Бажен</w:t>
      </w:r>
      <w:proofErr w:type="spellEnd"/>
      <w:r w:rsidRPr="00AB6EAD">
        <w:rPr>
          <w:rFonts w:ascii="Times New Roman" w:hAnsi="Times New Roman"/>
          <w:color w:val="000000" w:themeColor="text1"/>
          <w:sz w:val="28"/>
          <w:szCs w:val="28"/>
        </w:rPr>
        <w:t>» в ХМАО;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локализация прогнозных ресурсов углеводородного сырья категории </w:t>
      </w:r>
      <w:proofErr w:type="spellStart"/>
      <w:proofErr w:type="gramStart"/>
      <w:r w:rsidRPr="00AB6EAD">
        <w:rPr>
          <w:rFonts w:ascii="Times New Roman" w:hAnsi="Times New Roman"/>
          <w:color w:val="000000" w:themeColor="text1"/>
          <w:sz w:val="28"/>
          <w:szCs w:val="28"/>
        </w:rPr>
        <w:t>D</w:t>
      </w:r>
      <w:proofErr w:type="gramEnd"/>
      <w:r w:rsidRPr="00AB6EAD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л</w:t>
      </w:r>
      <w:proofErr w:type="spellEnd"/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AB6EAD">
        <w:rPr>
          <w:rFonts w:ascii="Times New Roman" w:hAnsi="Times New Roman"/>
          <w:sz w:val="28"/>
          <w:szCs w:val="28"/>
        </w:rPr>
        <w:t>объеме 5000 млн. тут;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EAD">
        <w:rPr>
          <w:rFonts w:ascii="Times New Roman" w:hAnsi="Times New Roman"/>
          <w:sz w:val="28"/>
          <w:szCs w:val="28"/>
        </w:rPr>
        <w:t>выполнение геологоразведочных работ по обеспечению воспроизводства   ресурсной базы подземных вод с ожидаемым приростом запасов в объеме 110 тыс</w:t>
      </w:r>
      <w:proofErr w:type="gramStart"/>
      <w:r w:rsidRPr="00AB6EAD">
        <w:rPr>
          <w:rFonts w:ascii="Times New Roman" w:hAnsi="Times New Roman"/>
          <w:sz w:val="28"/>
          <w:szCs w:val="28"/>
        </w:rPr>
        <w:t>.м</w:t>
      </w:r>
      <w:proofErr w:type="gramEnd"/>
      <w:r w:rsidRPr="00AB6EAD">
        <w:rPr>
          <w:rFonts w:ascii="Times New Roman" w:hAnsi="Times New Roman"/>
          <w:sz w:val="28"/>
          <w:szCs w:val="28"/>
        </w:rPr>
        <w:t xml:space="preserve">3/сутки. 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Роснедр О.С. Каспаров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3.9. совершенствование государственного геологического изучения недр в части работ по воспроизводству минерально-сырьевой базы твердых полезных ископаемых за счет средств федерального бюджета: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концентрация работ в пределах ранее обоснованных центров экономического роста с приоритетом постановки работ на Дальнем Востоке;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геологоразведочных работ на высоколиквидные и 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остродефицитные стратегические виды минерального сырья;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выполнение международных обязательств по изучению недр дна Мирового океана;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завершение геологоразведочных работ в рамках подпрограммы «Развитие промышленности редких и редкоземельных металлов»;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прирост прогнозных ресурсов важнейших видов полезных ископаемых категорий Р</w:t>
      </w:r>
      <w:proofErr w:type="gramStart"/>
      <w:r w:rsidRPr="00AB6EAD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Pr="00AB6EAD">
        <w:rPr>
          <w:rFonts w:ascii="Times New Roman" w:hAnsi="Times New Roman"/>
          <w:color w:val="000000" w:themeColor="text1"/>
          <w:sz w:val="28"/>
          <w:szCs w:val="28"/>
        </w:rPr>
        <w:t>+Р</w:t>
      </w:r>
      <w:r w:rsidRPr="00AB6EAD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AB6EA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показателями государственной программы «Воспроизводство и использование природных ресурсов».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С.А. Аксенов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4. Продолжить работы по оптимизации организационной структуры государственного сектора геологической отрасли в целях реализации «Стратегии развития геологической отрасли Российской Федерации до 2030 года».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С.А. Аксенов</w:t>
      </w: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D">
        <w:rPr>
          <w:rFonts w:ascii="Times New Roman" w:hAnsi="Times New Roman"/>
          <w:sz w:val="28"/>
          <w:szCs w:val="28"/>
          <w:lang w:eastAsia="ru-RU"/>
        </w:rPr>
        <w:t xml:space="preserve">5. Расширение взаимодействия с </w:t>
      </w:r>
      <w:r w:rsidRPr="00AB6EAD">
        <w:rPr>
          <w:rFonts w:ascii="Times New Roman" w:eastAsia="Calibri" w:hAnsi="Times New Roman"/>
          <w:sz w:val="28"/>
          <w:szCs w:val="28"/>
        </w:rPr>
        <w:t xml:space="preserve">Общественным советом Федерального агентства по недропользованию по проблемным вопросам государственного геологического изучения недр и воспроизводства минерально-сырьевой базы. 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заместитель руководителя С.А. Аксенов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6. Одобрить Публичную декларацию Федерального агентства по недропользованию на 2017 год в предложенном варианте.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6EAD">
        <w:rPr>
          <w:rFonts w:ascii="Times New Roman" w:eastAsia="Calibri" w:hAnsi="Times New Roman"/>
          <w:color w:val="000000" w:themeColor="text1"/>
          <w:sz w:val="28"/>
          <w:szCs w:val="28"/>
        </w:rPr>
        <w:t>7. По итогам заседания коллегии в установленном порядке разместить материалы коллегии на сайте Роснедр в сети Интернет.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EAD">
        <w:rPr>
          <w:rFonts w:ascii="Times New Roman" w:hAnsi="Times New Roman"/>
          <w:color w:val="000000" w:themeColor="text1"/>
          <w:sz w:val="28"/>
          <w:szCs w:val="28"/>
        </w:rPr>
        <w:t>Ответственный: начальник управления делами Д.В.Леньчук</w:t>
      </w:r>
    </w:p>
    <w:p w:rsidR="00AB6EAD" w:rsidRPr="00AB6EAD" w:rsidRDefault="00AB6EAD" w:rsidP="00AB6EA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B6EAD" w:rsidRPr="00AB6EAD" w:rsidRDefault="00AB6EAD" w:rsidP="00AB6EA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6EAD" w:rsidRPr="00AB6EAD" w:rsidRDefault="00AB6EAD" w:rsidP="00AB6EA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B6EAD">
        <w:rPr>
          <w:rFonts w:ascii="Times New Roman" w:hAnsi="Times New Roman"/>
          <w:sz w:val="28"/>
          <w:szCs w:val="28"/>
        </w:rPr>
        <w:t>Председатель Коллегии                                                             Е.А. Киселев</w:t>
      </w:r>
    </w:p>
    <w:p w:rsidR="00AB6EAD" w:rsidRPr="00AB6EAD" w:rsidRDefault="00AB6EAD" w:rsidP="00AB6EA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AB6EAD" w:rsidRPr="00AB6EAD" w:rsidRDefault="00AB6EAD" w:rsidP="00AB6EA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AB6EAD">
        <w:rPr>
          <w:rFonts w:ascii="Times New Roman" w:hAnsi="Times New Roman"/>
          <w:sz w:val="28"/>
          <w:szCs w:val="28"/>
        </w:rPr>
        <w:t>Ответственный секретарь                                                         О.М. Карасева</w:t>
      </w:r>
    </w:p>
    <w:p w:rsidR="00AB6EAD" w:rsidRPr="00AB6EAD" w:rsidRDefault="00AB6EAD" w:rsidP="00AB6EAD">
      <w:pPr>
        <w:spacing w:after="0" w:line="312" w:lineRule="auto"/>
        <w:jc w:val="both"/>
        <w:rPr>
          <w:sz w:val="28"/>
          <w:szCs w:val="28"/>
        </w:rPr>
      </w:pPr>
    </w:p>
    <w:p w:rsidR="00AB6EAD" w:rsidRPr="00AB6EAD" w:rsidRDefault="00AB6EAD" w:rsidP="00AB6EAD">
      <w:pPr>
        <w:spacing w:line="360" w:lineRule="auto"/>
      </w:pPr>
    </w:p>
    <w:p w:rsidR="00AC2290" w:rsidRDefault="00AC2290"/>
    <w:sectPr w:rsidR="00A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3"/>
    <w:rsid w:val="0000270D"/>
    <w:rsid w:val="00025C7A"/>
    <w:rsid w:val="00065101"/>
    <w:rsid w:val="000A10DD"/>
    <w:rsid w:val="000B6F10"/>
    <w:rsid w:val="000D5717"/>
    <w:rsid w:val="00135703"/>
    <w:rsid w:val="0021622E"/>
    <w:rsid w:val="00230B87"/>
    <w:rsid w:val="00240B3A"/>
    <w:rsid w:val="002D67A9"/>
    <w:rsid w:val="003440CA"/>
    <w:rsid w:val="003A23F6"/>
    <w:rsid w:val="00404B9A"/>
    <w:rsid w:val="00534010"/>
    <w:rsid w:val="0058307E"/>
    <w:rsid w:val="005A1198"/>
    <w:rsid w:val="005C72E8"/>
    <w:rsid w:val="00616B9F"/>
    <w:rsid w:val="00633E4F"/>
    <w:rsid w:val="006631FE"/>
    <w:rsid w:val="007D5B30"/>
    <w:rsid w:val="007F3BA3"/>
    <w:rsid w:val="008154B0"/>
    <w:rsid w:val="00900088"/>
    <w:rsid w:val="0095177F"/>
    <w:rsid w:val="009B3E4F"/>
    <w:rsid w:val="009D158D"/>
    <w:rsid w:val="009D792F"/>
    <w:rsid w:val="00A9632C"/>
    <w:rsid w:val="00AB6EAD"/>
    <w:rsid w:val="00AC2290"/>
    <w:rsid w:val="00AE5940"/>
    <w:rsid w:val="00AF63CF"/>
    <w:rsid w:val="00AF6EBE"/>
    <w:rsid w:val="00B9446B"/>
    <w:rsid w:val="00BB4076"/>
    <w:rsid w:val="00BB645A"/>
    <w:rsid w:val="00BD419F"/>
    <w:rsid w:val="00C07DA7"/>
    <w:rsid w:val="00C16B22"/>
    <w:rsid w:val="00D115CA"/>
    <w:rsid w:val="00D45100"/>
    <w:rsid w:val="00DD1AC8"/>
    <w:rsid w:val="00DD1B83"/>
    <w:rsid w:val="00EB3CA0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Михайловна</dc:creator>
  <cp:lastModifiedBy>Цой Виталий Анатольевич</cp:lastModifiedBy>
  <cp:revision>2</cp:revision>
  <cp:lastPrinted>2017-04-28T11:46:00Z</cp:lastPrinted>
  <dcterms:created xsi:type="dcterms:W3CDTF">2017-04-28T12:40:00Z</dcterms:created>
  <dcterms:modified xsi:type="dcterms:W3CDTF">2017-04-28T12:40:00Z</dcterms:modified>
</cp:coreProperties>
</file>